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1010D" w:rsidP="6E496FB5" w:rsidRDefault="00D1010D" w14:paraId="2C0D8154" w14:textId="059D55F3">
      <w:pPr>
        <w:spacing w:after="160" w:line="259" w:lineRule="auto"/>
        <w:jc w:val="both"/>
        <w:rPr>
          <w:rFonts w:ascii="Calibri" w:hAnsi="Calibri" w:eastAsia="Calibri" w:cs="Calibri"/>
          <w:b w:val="1"/>
          <w:bCs w:val="1"/>
          <w:i w:val="0"/>
          <w:iCs w:val="0"/>
          <w:caps w:val="0"/>
          <w:smallCaps w:val="0"/>
          <w:noProof w:val="0"/>
          <w:color w:val="70AD47" w:themeColor="accent6" w:themeTint="FF" w:themeShade="FF"/>
          <w:sz w:val="32"/>
          <w:szCs w:val="32"/>
          <w:lang w:val="en-US"/>
        </w:rPr>
      </w:pPr>
      <w:r w:rsidRPr="6E496FB5" w:rsidR="6E496FB5">
        <w:rPr>
          <w:rFonts w:ascii="Calibri" w:hAnsi="Calibri" w:eastAsia="Calibri" w:cs="Calibri"/>
          <w:b w:val="1"/>
          <w:bCs w:val="1"/>
          <w:i w:val="0"/>
          <w:iCs w:val="0"/>
          <w:caps w:val="0"/>
          <w:smallCaps w:val="0"/>
          <w:noProof w:val="0"/>
          <w:color w:val="70AD47" w:themeColor="accent6" w:themeTint="FF" w:themeShade="FF"/>
          <w:sz w:val="32"/>
          <w:szCs w:val="32"/>
          <w:lang w:val="en-US"/>
        </w:rPr>
        <w:t>Strengthening Alliances – Sudden Opportunity Campaign Funds</w:t>
      </w:r>
    </w:p>
    <w:sdt>
      <w:sdtPr>
        <w:id w:val="1483654635"/>
        <w:docPartObj>
          <w:docPartGallery w:val="Table of Contents"/>
          <w:docPartUnique/>
        </w:docPartObj>
      </w:sdtPr>
      <w:sdtContent>
        <w:p w:rsidR="00D1010D" w:rsidP="6E496FB5" w:rsidRDefault="00D1010D" w14:paraId="7C9A1D4A" w14:textId="640D580C">
          <w:pPr>
            <w:pStyle w:val="TOC1"/>
            <w:tabs>
              <w:tab w:val="right" w:leader="dot" w:pos="9360"/>
            </w:tabs>
            <w:bidi w:val="0"/>
          </w:pPr>
          <w:r>
            <w:fldChar w:fldCharType="begin"/>
          </w:r>
          <w:r>
            <w:instrText xml:space="preserve">TOC \o \z \u \h</w:instrText>
          </w:r>
          <w:r>
            <w:fldChar w:fldCharType="separate"/>
          </w:r>
          <w:hyperlink w:anchor="_Toc1354283883">
            <w:r w:rsidRPr="6E496FB5" w:rsidR="6E496FB5">
              <w:rPr>
                <w:rStyle w:val="Hyperlink"/>
              </w:rPr>
              <w:t>Who can apply?</w:t>
            </w:r>
            <w:r>
              <w:tab/>
            </w:r>
            <w:r>
              <w:fldChar w:fldCharType="begin"/>
            </w:r>
            <w:r>
              <w:instrText xml:space="preserve">PAGEREF _Toc1354283883 \h</w:instrText>
            </w:r>
            <w:r>
              <w:fldChar w:fldCharType="separate"/>
            </w:r>
            <w:r w:rsidRPr="6E496FB5" w:rsidR="6E496FB5">
              <w:rPr>
                <w:rStyle w:val="Hyperlink"/>
              </w:rPr>
              <w:t>1</w:t>
            </w:r>
            <w:r>
              <w:fldChar w:fldCharType="end"/>
            </w:r>
          </w:hyperlink>
        </w:p>
        <w:p w:rsidR="00D1010D" w:rsidP="6E496FB5" w:rsidRDefault="00D1010D" w14:paraId="6FF0A5BC" w14:textId="79DFCFDD">
          <w:pPr>
            <w:pStyle w:val="TOC1"/>
            <w:tabs>
              <w:tab w:val="right" w:leader="dot" w:pos="9360"/>
            </w:tabs>
            <w:bidi w:val="0"/>
          </w:pPr>
          <w:hyperlink w:anchor="_Toc915761516">
            <w:r w:rsidRPr="6E496FB5" w:rsidR="6E496FB5">
              <w:rPr>
                <w:rStyle w:val="Hyperlink"/>
              </w:rPr>
              <w:t>How much can we apply for?</w:t>
            </w:r>
            <w:r>
              <w:tab/>
            </w:r>
            <w:r>
              <w:fldChar w:fldCharType="begin"/>
            </w:r>
            <w:r>
              <w:instrText xml:space="preserve">PAGEREF _Toc915761516 \h</w:instrText>
            </w:r>
            <w:r>
              <w:fldChar w:fldCharType="separate"/>
            </w:r>
            <w:r w:rsidRPr="6E496FB5" w:rsidR="6E496FB5">
              <w:rPr>
                <w:rStyle w:val="Hyperlink"/>
              </w:rPr>
              <w:t>2</w:t>
            </w:r>
            <w:r>
              <w:fldChar w:fldCharType="end"/>
            </w:r>
          </w:hyperlink>
        </w:p>
        <w:p w:rsidR="00D1010D" w:rsidP="6E496FB5" w:rsidRDefault="00D1010D" w14:paraId="66CF6D74" w14:textId="1BCC6928">
          <w:pPr>
            <w:pStyle w:val="TOC1"/>
            <w:tabs>
              <w:tab w:val="right" w:leader="dot" w:pos="9360"/>
            </w:tabs>
            <w:bidi w:val="0"/>
          </w:pPr>
          <w:hyperlink w:anchor="_Toc1707928353">
            <w:r w:rsidRPr="6E496FB5" w:rsidR="6E496FB5">
              <w:rPr>
                <w:rStyle w:val="Hyperlink"/>
              </w:rPr>
              <w:t>What is the application deadline?</w:t>
            </w:r>
            <w:r>
              <w:tab/>
            </w:r>
            <w:r>
              <w:fldChar w:fldCharType="begin"/>
            </w:r>
            <w:r>
              <w:instrText xml:space="preserve">PAGEREF _Toc1707928353 \h</w:instrText>
            </w:r>
            <w:r>
              <w:fldChar w:fldCharType="separate"/>
            </w:r>
            <w:r w:rsidRPr="6E496FB5" w:rsidR="6E496FB5">
              <w:rPr>
                <w:rStyle w:val="Hyperlink"/>
              </w:rPr>
              <w:t>3</w:t>
            </w:r>
            <w:r>
              <w:fldChar w:fldCharType="end"/>
            </w:r>
          </w:hyperlink>
        </w:p>
        <w:p w:rsidR="00D1010D" w:rsidP="6E496FB5" w:rsidRDefault="00D1010D" w14:paraId="2825F505" w14:textId="121CC108">
          <w:pPr>
            <w:pStyle w:val="TOC1"/>
            <w:tabs>
              <w:tab w:val="right" w:leader="dot" w:pos="9360"/>
            </w:tabs>
            <w:bidi w:val="0"/>
          </w:pPr>
          <w:hyperlink w:anchor="_Toc2110661077">
            <w:r w:rsidRPr="6E496FB5" w:rsidR="6E496FB5">
              <w:rPr>
                <w:rStyle w:val="Hyperlink"/>
              </w:rPr>
              <w:t>What is the decision-making process?</w:t>
            </w:r>
            <w:r>
              <w:tab/>
            </w:r>
            <w:r>
              <w:fldChar w:fldCharType="begin"/>
            </w:r>
            <w:r>
              <w:instrText xml:space="preserve">PAGEREF _Toc2110661077 \h</w:instrText>
            </w:r>
            <w:r>
              <w:fldChar w:fldCharType="separate"/>
            </w:r>
            <w:r w:rsidRPr="6E496FB5" w:rsidR="6E496FB5">
              <w:rPr>
                <w:rStyle w:val="Hyperlink"/>
              </w:rPr>
              <w:t>3</w:t>
            </w:r>
            <w:r>
              <w:fldChar w:fldCharType="end"/>
            </w:r>
          </w:hyperlink>
        </w:p>
        <w:p w:rsidR="00D1010D" w:rsidP="6E496FB5" w:rsidRDefault="00D1010D" w14:paraId="2904F030" w14:textId="293C586E">
          <w:pPr>
            <w:pStyle w:val="TOC1"/>
            <w:tabs>
              <w:tab w:val="right" w:leader="dot" w:pos="9360"/>
            </w:tabs>
            <w:bidi w:val="0"/>
          </w:pPr>
          <w:hyperlink w:anchor="_Toc1844247913">
            <w:r w:rsidRPr="6E496FB5" w:rsidR="6E496FB5">
              <w:rPr>
                <w:rStyle w:val="Hyperlink"/>
              </w:rPr>
              <w:t>How To Apply:</w:t>
            </w:r>
            <w:r>
              <w:tab/>
            </w:r>
            <w:r>
              <w:fldChar w:fldCharType="begin"/>
            </w:r>
            <w:r>
              <w:instrText xml:space="preserve">PAGEREF _Toc1844247913 \h</w:instrText>
            </w:r>
            <w:r>
              <w:fldChar w:fldCharType="separate"/>
            </w:r>
            <w:r w:rsidRPr="6E496FB5" w:rsidR="6E496FB5">
              <w:rPr>
                <w:rStyle w:val="Hyperlink"/>
              </w:rPr>
              <w:t>3</w:t>
            </w:r>
            <w:r>
              <w:fldChar w:fldCharType="end"/>
            </w:r>
          </w:hyperlink>
        </w:p>
        <w:p w:rsidR="00D1010D" w:rsidP="6E496FB5" w:rsidRDefault="00D1010D" w14:paraId="19FF0932" w14:textId="18FEF59A">
          <w:pPr>
            <w:pStyle w:val="TOC2"/>
            <w:tabs>
              <w:tab w:val="right" w:leader="dot" w:pos="9360"/>
            </w:tabs>
            <w:bidi w:val="0"/>
          </w:pPr>
          <w:hyperlink w:anchor="_Toc1943647238">
            <w:r w:rsidRPr="6E496FB5" w:rsidR="6E496FB5">
              <w:rPr>
                <w:rStyle w:val="Hyperlink"/>
              </w:rPr>
              <w:t>Step 1 - Select the lead organisation and provide their contact details</w:t>
            </w:r>
            <w:r>
              <w:tab/>
            </w:r>
            <w:r>
              <w:fldChar w:fldCharType="begin"/>
            </w:r>
            <w:r>
              <w:instrText xml:space="preserve">PAGEREF _Toc1943647238 \h</w:instrText>
            </w:r>
            <w:r>
              <w:fldChar w:fldCharType="separate"/>
            </w:r>
            <w:r w:rsidRPr="6E496FB5" w:rsidR="6E496FB5">
              <w:rPr>
                <w:rStyle w:val="Hyperlink"/>
              </w:rPr>
              <w:t>3</w:t>
            </w:r>
            <w:r>
              <w:fldChar w:fldCharType="end"/>
            </w:r>
          </w:hyperlink>
        </w:p>
        <w:p w:rsidR="00D1010D" w:rsidP="6E496FB5" w:rsidRDefault="00D1010D" w14:paraId="13AF15F1" w14:textId="28B230ED">
          <w:pPr>
            <w:pStyle w:val="TOC2"/>
            <w:tabs>
              <w:tab w:val="right" w:leader="dot" w:pos="9360"/>
            </w:tabs>
            <w:bidi w:val="0"/>
          </w:pPr>
          <w:hyperlink w:anchor="_Toc89232083">
            <w:r w:rsidRPr="6E496FB5" w:rsidR="6E496FB5">
              <w:rPr>
                <w:rStyle w:val="Hyperlink"/>
              </w:rPr>
              <w:t>Step 2 - Complete the eligibility section</w:t>
            </w:r>
            <w:r>
              <w:tab/>
            </w:r>
            <w:r>
              <w:fldChar w:fldCharType="begin"/>
            </w:r>
            <w:r>
              <w:instrText xml:space="preserve">PAGEREF _Toc89232083 \h</w:instrText>
            </w:r>
            <w:r>
              <w:fldChar w:fldCharType="separate"/>
            </w:r>
            <w:r w:rsidRPr="6E496FB5" w:rsidR="6E496FB5">
              <w:rPr>
                <w:rStyle w:val="Hyperlink"/>
              </w:rPr>
              <w:t>4</w:t>
            </w:r>
            <w:r>
              <w:fldChar w:fldCharType="end"/>
            </w:r>
          </w:hyperlink>
        </w:p>
        <w:p w:rsidR="00D1010D" w:rsidP="6E496FB5" w:rsidRDefault="00D1010D" w14:paraId="265F3C63" w14:textId="56F95989">
          <w:pPr>
            <w:pStyle w:val="TOC2"/>
            <w:tabs>
              <w:tab w:val="right" w:leader="dot" w:pos="9360"/>
            </w:tabs>
            <w:bidi w:val="0"/>
          </w:pPr>
          <w:hyperlink w:anchor="_Toc872213059">
            <w:r w:rsidRPr="6E496FB5" w:rsidR="6E496FB5">
              <w:rPr>
                <w:rStyle w:val="Hyperlink"/>
              </w:rPr>
              <w:t>Step 3 - Complete the inclusion section</w:t>
            </w:r>
            <w:r>
              <w:tab/>
            </w:r>
            <w:r>
              <w:fldChar w:fldCharType="begin"/>
            </w:r>
            <w:r>
              <w:instrText xml:space="preserve">PAGEREF _Toc872213059 \h</w:instrText>
            </w:r>
            <w:r>
              <w:fldChar w:fldCharType="separate"/>
            </w:r>
            <w:r w:rsidRPr="6E496FB5" w:rsidR="6E496FB5">
              <w:rPr>
                <w:rStyle w:val="Hyperlink"/>
              </w:rPr>
              <w:t>5</w:t>
            </w:r>
            <w:r>
              <w:fldChar w:fldCharType="end"/>
            </w:r>
          </w:hyperlink>
        </w:p>
        <w:p w:rsidR="00D1010D" w:rsidP="6E496FB5" w:rsidRDefault="00D1010D" w14:paraId="178146BB" w14:textId="039D3124">
          <w:pPr>
            <w:pStyle w:val="TOC2"/>
            <w:tabs>
              <w:tab w:val="right" w:leader="dot" w:pos="9360"/>
            </w:tabs>
            <w:bidi w:val="0"/>
          </w:pPr>
          <w:hyperlink w:anchor="_Toc1874918323">
            <w:r w:rsidRPr="6E496FB5" w:rsidR="6E496FB5">
              <w:rPr>
                <w:rStyle w:val="Hyperlink"/>
              </w:rPr>
              <w:t>Step 4 - Provide the lead organisation’s registration details</w:t>
            </w:r>
            <w:r>
              <w:tab/>
            </w:r>
            <w:r>
              <w:fldChar w:fldCharType="begin"/>
            </w:r>
            <w:r>
              <w:instrText xml:space="preserve">PAGEREF _Toc1874918323 \h</w:instrText>
            </w:r>
            <w:r>
              <w:fldChar w:fldCharType="separate"/>
            </w:r>
            <w:r w:rsidRPr="6E496FB5" w:rsidR="6E496FB5">
              <w:rPr>
                <w:rStyle w:val="Hyperlink"/>
              </w:rPr>
              <w:t>5</w:t>
            </w:r>
            <w:r>
              <w:fldChar w:fldCharType="end"/>
            </w:r>
          </w:hyperlink>
        </w:p>
        <w:p w:rsidR="00D1010D" w:rsidP="6E496FB5" w:rsidRDefault="00D1010D" w14:paraId="0F06A510" w14:textId="2C064377">
          <w:pPr>
            <w:pStyle w:val="TOC2"/>
            <w:tabs>
              <w:tab w:val="right" w:leader="dot" w:pos="9360"/>
            </w:tabs>
            <w:bidi w:val="0"/>
          </w:pPr>
          <w:hyperlink w:anchor="_Toc1303861647">
            <w:r w:rsidRPr="6E496FB5" w:rsidR="6E496FB5">
              <w:rPr>
                <w:rStyle w:val="Hyperlink"/>
              </w:rPr>
              <w:t>Step 5 - Explain your campaign or influencing idea</w:t>
            </w:r>
            <w:r>
              <w:tab/>
            </w:r>
            <w:r>
              <w:fldChar w:fldCharType="begin"/>
            </w:r>
            <w:r>
              <w:instrText xml:space="preserve">PAGEREF _Toc1303861647 \h</w:instrText>
            </w:r>
            <w:r>
              <w:fldChar w:fldCharType="separate"/>
            </w:r>
            <w:r w:rsidRPr="6E496FB5" w:rsidR="6E496FB5">
              <w:rPr>
                <w:rStyle w:val="Hyperlink"/>
              </w:rPr>
              <w:t>6</w:t>
            </w:r>
            <w:r>
              <w:fldChar w:fldCharType="end"/>
            </w:r>
          </w:hyperlink>
        </w:p>
        <w:p w:rsidR="00D1010D" w:rsidP="6E496FB5" w:rsidRDefault="00D1010D" w14:paraId="21994345" w14:textId="00561394">
          <w:pPr>
            <w:pStyle w:val="TOC2"/>
            <w:tabs>
              <w:tab w:val="right" w:leader="dot" w:pos="9360"/>
            </w:tabs>
            <w:bidi w:val="0"/>
          </w:pPr>
          <w:hyperlink w:anchor="_Toc1845243180">
            <w:r w:rsidRPr="6E496FB5" w:rsidR="6E496FB5">
              <w:rPr>
                <w:rStyle w:val="Hyperlink"/>
              </w:rPr>
              <w:t>Step 6 - Document Upload</w:t>
            </w:r>
            <w:r>
              <w:tab/>
            </w:r>
            <w:r>
              <w:fldChar w:fldCharType="begin"/>
            </w:r>
            <w:r>
              <w:instrText xml:space="preserve">PAGEREF _Toc1845243180 \h</w:instrText>
            </w:r>
            <w:r>
              <w:fldChar w:fldCharType="separate"/>
            </w:r>
            <w:r w:rsidRPr="6E496FB5" w:rsidR="6E496FB5">
              <w:rPr>
                <w:rStyle w:val="Hyperlink"/>
              </w:rPr>
              <w:t>7</w:t>
            </w:r>
            <w:r>
              <w:fldChar w:fldCharType="end"/>
            </w:r>
          </w:hyperlink>
        </w:p>
        <w:p w:rsidR="00D1010D" w:rsidP="6E496FB5" w:rsidRDefault="00D1010D" w14:paraId="7D34350C" w14:textId="53302488">
          <w:pPr>
            <w:pStyle w:val="TOC2"/>
            <w:tabs>
              <w:tab w:val="right" w:leader="dot" w:pos="9360"/>
            </w:tabs>
            <w:bidi w:val="0"/>
          </w:pPr>
          <w:hyperlink w:anchor="_Toc2101671701">
            <w:r w:rsidRPr="6E496FB5" w:rsidR="6E496FB5">
              <w:rPr>
                <w:rStyle w:val="Hyperlink"/>
              </w:rPr>
              <w:t>Step 7 - Submit</w:t>
            </w:r>
            <w:r>
              <w:tab/>
            </w:r>
            <w:r>
              <w:fldChar w:fldCharType="begin"/>
            </w:r>
            <w:r>
              <w:instrText xml:space="preserve">PAGEREF _Toc2101671701 \h</w:instrText>
            </w:r>
            <w:r>
              <w:fldChar w:fldCharType="separate"/>
            </w:r>
            <w:r w:rsidRPr="6E496FB5" w:rsidR="6E496FB5">
              <w:rPr>
                <w:rStyle w:val="Hyperlink"/>
              </w:rPr>
              <w:t>9</w:t>
            </w:r>
            <w:r>
              <w:fldChar w:fldCharType="end"/>
            </w:r>
          </w:hyperlink>
        </w:p>
        <w:p w:rsidR="00D1010D" w:rsidP="6E496FB5" w:rsidRDefault="00D1010D" w14:paraId="0C85EE9F" w14:textId="24905760">
          <w:pPr>
            <w:pStyle w:val="TOC2"/>
            <w:tabs>
              <w:tab w:val="right" w:leader="dot" w:pos="9360"/>
            </w:tabs>
            <w:bidi w:val="0"/>
          </w:pPr>
          <w:hyperlink w:anchor="_Toc1379070385">
            <w:r w:rsidRPr="6E496FB5" w:rsidR="6E496FB5">
              <w:rPr>
                <w:rStyle w:val="Hyperlink"/>
              </w:rPr>
              <w:t>Step 8 - Respond to any additional requests for information</w:t>
            </w:r>
            <w:r>
              <w:tab/>
            </w:r>
            <w:r>
              <w:fldChar w:fldCharType="begin"/>
            </w:r>
            <w:r>
              <w:instrText xml:space="preserve">PAGEREF _Toc1379070385 \h</w:instrText>
            </w:r>
            <w:r>
              <w:fldChar w:fldCharType="separate"/>
            </w:r>
            <w:r w:rsidRPr="6E496FB5" w:rsidR="6E496FB5">
              <w:rPr>
                <w:rStyle w:val="Hyperlink"/>
              </w:rPr>
              <w:t>9</w:t>
            </w:r>
            <w:r>
              <w:fldChar w:fldCharType="end"/>
            </w:r>
          </w:hyperlink>
        </w:p>
        <w:p w:rsidR="00D1010D" w:rsidP="6E496FB5" w:rsidRDefault="00D1010D" w14:paraId="0E3A183D" w14:textId="0D48100B">
          <w:pPr>
            <w:pStyle w:val="TOC1"/>
            <w:tabs>
              <w:tab w:val="right" w:leader="dot" w:pos="9360"/>
            </w:tabs>
            <w:bidi w:val="0"/>
          </w:pPr>
          <w:hyperlink w:anchor="_Toc266599115">
            <w:r w:rsidRPr="6E496FB5" w:rsidR="6E496FB5">
              <w:rPr>
                <w:rStyle w:val="Hyperlink"/>
              </w:rPr>
              <w:t>Frequently Asked Questions</w:t>
            </w:r>
            <w:r>
              <w:tab/>
            </w:r>
            <w:r>
              <w:fldChar w:fldCharType="begin"/>
            </w:r>
            <w:r>
              <w:instrText xml:space="preserve">PAGEREF _Toc266599115 \h</w:instrText>
            </w:r>
            <w:r>
              <w:fldChar w:fldCharType="separate"/>
            </w:r>
            <w:r w:rsidRPr="6E496FB5" w:rsidR="6E496FB5">
              <w:rPr>
                <w:rStyle w:val="Hyperlink"/>
              </w:rPr>
              <w:t>9</w:t>
            </w:r>
            <w:r>
              <w:fldChar w:fldCharType="end"/>
            </w:r>
          </w:hyperlink>
          <w:r>
            <w:fldChar w:fldCharType="end"/>
          </w:r>
        </w:p>
      </w:sdtContent>
    </w:sdt>
    <w:p w:rsidR="00D1010D" w:rsidRDefault="00D1010D" w14:paraId="5D74C11A" w14:textId="4ED38CD6">
      <w:r>
        <w:br w:type="page"/>
      </w:r>
    </w:p>
    <w:p w:rsidR="00D1010D" w:rsidP="6E496FB5" w:rsidRDefault="00D1010D" w14:paraId="66B23FA3" w14:textId="03A975D4">
      <w:pPr>
        <w:pStyle w:val="Normal"/>
        <w:spacing w:after="160" w:line="259" w:lineRule="auto"/>
        <w:jc w:val="both"/>
        <w:rPr>
          <w:rFonts w:ascii="Calibri" w:hAnsi="Calibri" w:eastAsia="Calibri" w:cs="Calibri"/>
          <w:b w:val="1"/>
          <w:bCs w:val="1"/>
          <w:i w:val="0"/>
          <w:iCs w:val="0"/>
          <w:caps w:val="0"/>
          <w:smallCaps w:val="0"/>
          <w:noProof w:val="0"/>
          <w:color w:val="70AD47" w:themeColor="accent6" w:themeTint="FF" w:themeShade="FF"/>
          <w:sz w:val="32"/>
          <w:szCs w:val="32"/>
          <w:lang w:val="en-US"/>
        </w:rPr>
      </w:pPr>
    </w:p>
    <w:p w:rsidR="00D1010D" w:rsidP="6E496FB5" w:rsidRDefault="00D1010D" w14:paraId="5C8A272D" w14:textId="4858594B">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Activists and organizations can amplify their influence </w:t>
      </w: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by working together.</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D1010D" w:rsidP="6E496FB5" w:rsidRDefault="00D1010D" w14:paraId="12495C74" w14:textId="4E49635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r w:rsidRPr="6E496FB5" w:rsidR="6E496FB5">
        <w:rPr>
          <w:rFonts w:ascii="Calibri" w:hAnsi="Calibri" w:eastAsia="Calibri" w:cs="Calibri"/>
          <w:b w:val="1"/>
          <w:bCs w:val="1"/>
          <w:i w:val="0"/>
          <w:iCs w:val="0"/>
          <w:caps w:val="0"/>
          <w:smallCaps w:val="0"/>
          <w:noProof w:val="0"/>
          <w:color w:val="70AD47" w:themeColor="accent6" w:themeTint="FF" w:themeShade="FF"/>
          <w:sz w:val="22"/>
          <w:szCs w:val="22"/>
          <w:lang w:val="en-US"/>
        </w:rPr>
        <w:t>Strengthening Alliances - Sudden Opportunity Campaign Fund</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aims to further stimulate and facilitate collaboration. It will enable responses to chance circumstances and unique influencing opportunities with the possibility for change when groups can work together. </w:t>
      </w:r>
    </w:p>
    <w:p w:rsidR="00D1010D" w:rsidP="6E496FB5" w:rsidRDefault="00D1010D" w14:paraId="29B9BF0B" w14:textId="3A4115B6">
      <w:pPr>
        <w:pStyle w:val="Heading1"/>
        <w:bidi w:val="0"/>
        <w:rPr>
          <w:rFonts w:ascii="Calibri Light" w:hAnsi="Calibri Light" w:eastAsia="" w:cs=""/>
          <w:b w:val="1"/>
          <w:bCs w:val="1"/>
          <w:i w:val="0"/>
          <w:iCs w:val="0"/>
          <w:caps w:val="0"/>
          <w:smallCaps w:val="0"/>
          <w:noProof w:val="0"/>
          <w:color w:val="00B0F0"/>
          <w:sz w:val="32"/>
          <w:szCs w:val="32"/>
          <w:lang w:val="en-US"/>
        </w:rPr>
      </w:pPr>
      <w:bookmarkStart w:name="_Toc1354283883" w:id="1344719250"/>
      <w:r w:rsidRPr="6E496FB5" w:rsidR="6E496FB5">
        <w:rPr>
          <w:b w:val="1"/>
          <w:bCs w:val="1"/>
          <w:noProof w:val="0"/>
          <w:color w:val="00B0F0"/>
          <w:lang w:val="en-US"/>
        </w:rPr>
        <w:t xml:space="preserve">Who can apply? </w:t>
      </w:r>
      <w:bookmarkEnd w:id="1344719250"/>
    </w:p>
    <w:p w:rsidR="00D1010D" w:rsidP="6E496FB5" w:rsidRDefault="00D1010D" w14:paraId="46003FF3" w14:textId="75AE2211">
      <w:pPr>
        <w:pStyle w:val="ListParagraph"/>
        <w:numPr>
          <w:ilvl w:val="0"/>
          <w:numId w:val="7"/>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roofErr w:type="spellStart"/>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Organisations</w:t>
      </w:r>
      <w:proofErr w:type="spellEnd"/>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working collectively </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(2 or more groups working together), in new or existing collectives or alliances seeking to strengthen their advocacy efforts or seize a sudden campaigning opportunity.</w:t>
      </w:r>
    </w:p>
    <w:p w:rsidR="00D1010D" w:rsidP="6E496FB5" w:rsidRDefault="00D1010D" w14:paraId="683B01A7" w14:textId="7FA47C2F">
      <w:pPr>
        <w:pStyle w:val="ListParagraph"/>
        <w:numPr>
          <w:ilvl w:val="0"/>
          <w:numId w:val="7"/>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One </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the applicant </w:t>
      </w:r>
      <w:proofErr w:type="spellStart"/>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organisations</w:t>
      </w:r>
      <w:proofErr w:type="spellEnd"/>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must be a current partner</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the Power of Voices </w:t>
      </w:r>
      <w:proofErr w:type="spellStart"/>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Programme</w:t>
      </w:r>
      <w:proofErr w:type="spellEnd"/>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AACJ or FAIR for ALL through its </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consortium</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members:</w:t>
      </w:r>
    </w:p>
    <w:p w:rsidR="00D1010D" w:rsidP="6265DC0A" w:rsidRDefault="00D1010D" w14:paraId="0EF7C540" w14:textId="76C35967">
      <w:pPr>
        <w:pStyle w:val="Normal"/>
        <w:spacing w:after="160" w:line="259" w:lineRule="auto"/>
        <w:ind w:left="0"/>
        <w:jc w:val="both"/>
        <w:rPr>
          <w:rFonts w:ascii="Calibri" w:hAnsi="Calibri" w:eastAsia="Calibri" w:cs="Calibri"/>
          <w:b w:val="1"/>
          <w:bCs w:val="1"/>
          <w:i w:val="0"/>
          <w:iCs w:val="0"/>
          <w:caps w:val="0"/>
          <w:smallCaps w:val="0"/>
          <w:noProof w:val="0"/>
          <w:color w:val="5EA642"/>
          <w:sz w:val="22"/>
          <w:szCs w:val="22"/>
          <w:lang w:val="en-US"/>
        </w:rPr>
      </w:pPr>
      <w:r w:rsidRPr="6265DC0A" w:rsidR="6265DC0A">
        <w:rPr>
          <w:rFonts w:ascii="Calibri" w:hAnsi="Calibri" w:eastAsia="Calibri" w:cs="Calibri"/>
          <w:b w:val="1"/>
          <w:bCs w:val="1"/>
          <w:i w:val="0"/>
          <w:iCs w:val="0"/>
          <w:caps w:val="0"/>
          <w:smallCaps w:val="0"/>
          <w:noProof w:val="0"/>
          <w:color w:val="5EA642"/>
          <w:sz w:val="22"/>
          <w:szCs w:val="22"/>
          <w:lang w:val="en-US"/>
        </w:rPr>
        <w:t xml:space="preserve">African Activists for Climate Justice (AACJ) Consortium Members (PACJA, Natural Justice, </w:t>
      </w:r>
      <w:r w:rsidRPr="6265DC0A" w:rsidR="6265DC0A">
        <w:rPr>
          <w:rFonts w:ascii="Calibri" w:hAnsi="Calibri" w:eastAsia="Calibri" w:cs="Calibri"/>
          <w:b w:val="1"/>
          <w:bCs w:val="1"/>
          <w:i w:val="0"/>
          <w:iCs w:val="0"/>
          <w:caps w:val="0"/>
          <w:smallCaps w:val="0"/>
          <w:noProof w:val="0"/>
          <w:color w:val="5EA642"/>
          <w:sz w:val="22"/>
          <w:szCs w:val="22"/>
          <w:lang w:val="en-US"/>
        </w:rPr>
        <w:t>Femnet</w:t>
      </w:r>
      <w:r w:rsidRPr="6265DC0A" w:rsidR="6265DC0A">
        <w:rPr>
          <w:rFonts w:ascii="Calibri" w:hAnsi="Calibri" w:eastAsia="Calibri" w:cs="Calibri"/>
          <w:b w:val="1"/>
          <w:bCs w:val="1"/>
          <w:i w:val="0"/>
          <w:iCs w:val="0"/>
          <w:caps w:val="0"/>
          <w:smallCaps w:val="0"/>
          <w:noProof w:val="0"/>
          <w:color w:val="5EA642"/>
          <w:sz w:val="22"/>
          <w:szCs w:val="22"/>
          <w:lang w:val="en-US"/>
        </w:rPr>
        <w:t>, African Youth Commission, Oxfam Novib)</w:t>
      </w:r>
    </w:p>
    <w:p w:rsidR="00D1010D" w:rsidP="6E496FB5" w:rsidRDefault="00D1010D" w14:paraId="02DD04A4" w14:textId="5A8C0038">
      <w:pPr>
        <w:pStyle w:val="Normal"/>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0D1010D" w:rsidP="6E496FB5" w:rsidRDefault="00D1010D" w14:paraId="08822787" w14:textId="3DECADFD">
      <w:pPr>
        <w:pStyle w:val="Normal"/>
        <w:spacing w:after="160" w:line="259" w:lineRule="auto"/>
        <w:jc w:val="both"/>
      </w:pPr>
      <w:r>
        <w:drawing>
          <wp:inline wp14:editId="5B36796A" wp14:anchorId="6CD88C71">
            <wp:extent cx="1102762" cy="581025"/>
            <wp:effectExtent l="0" t="0" r="0" b="0"/>
            <wp:docPr id="695566293" name="" title=""/>
            <wp:cNvGraphicFramePr>
              <a:graphicFrameLocks noChangeAspect="1"/>
            </wp:cNvGraphicFramePr>
            <a:graphic>
              <a:graphicData uri="http://schemas.openxmlformats.org/drawingml/2006/picture">
                <pic:pic>
                  <pic:nvPicPr>
                    <pic:cNvPr id="0" name=""/>
                    <pic:cNvPicPr/>
                  </pic:nvPicPr>
                  <pic:blipFill>
                    <a:blip r:embed="R5f1a1d8381874568">
                      <a:extLst>
                        <a:ext xmlns:a="http://schemas.openxmlformats.org/drawingml/2006/main" uri="{28A0092B-C50C-407E-A947-70E740481C1C}">
                          <a14:useLocalDpi val="0"/>
                        </a:ext>
                      </a:extLst>
                    </a:blip>
                    <a:stretch>
                      <a:fillRect/>
                    </a:stretch>
                  </pic:blipFill>
                  <pic:spPr>
                    <a:xfrm>
                      <a:off x="0" y="0"/>
                      <a:ext cx="1102762" cy="581025"/>
                    </a:xfrm>
                    <a:prstGeom prst="rect">
                      <a:avLst/>
                    </a:prstGeom>
                  </pic:spPr>
                </pic:pic>
              </a:graphicData>
            </a:graphic>
          </wp:inline>
        </w:drawing>
      </w:r>
      <w:r>
        <w:drawing>
          <wp:inline wp14:editId="49C77601" wp14:anchorId="7B5F799C">
            <wp:extent cx="1163497" cy="404917"/>
            <wp:effectExtent l="0" t="0" r="0" b="0"/>
            <wp:docPr id="789563807" name="" title=""/>
            <wp:cNvGraphicFramePr>
              <a:graphicFrameLocks noChangeAspect="1"/>
            </wp:cNvGraphicFramePr>
            <a:graphic>
              <a:graphicData uri="http://schemas.openxmlformats.org/drawingml/2006/picture">
                <pic:pic>
                  <pic:nvPicPr>
                    <pic:cNvPr id="0" name=""/>
                    <pic:cNvPicPr/>
                  </pic:nvPicPr>
                  <pic:blipFill>
                    <a:blip r:embed="R8675145ecf4c4140">
                      <a:extLst>
                        <a:ext xmlns:a="http://schemas.openxmlformats.org/drawingml/2006/main" uri="{28A0092B-C50C-407E-A947-70E740481C1C}">
                          <a14:useLocalDpi val="0"/>
                        </a:ext>
                      </a:extLst>
                    </a:blip>
                    <a:stretch>
                      <a:fillRect/>
                    </a:stretch>
                  </pic:blipFill>
                  <pic:spPr>
                    <a:xfrm>
                      <a:off x="0" y="0"/>
                      <a:ext cx="1163497" cy="404917"/>
                    </a:xfrm>
                    <a:prstGeom prst="rect">
                      <a:avLst/>
                    </a:prstGeom>
                  </pic:spPr>
                </pic:pic>
              </a:graphicData>
            </a:graphic>
          </wp:inline>
        </w:drawing>
      </w:r>
      <w:r>
        <w:drawing>
          <wp:inline wp14:editId="2FDC7811" wp14:anchorId="794F8144">
            <wp:extent cx="1461752" cy="457200"/>
            <wp:effectExtent l="0" t="0" r="0" b="0"/>
            <wp:docPr id="1083239124" name="" title=""/>
            <wp:cNvGraphicFramePr>
              <a:graphicFrameLocks noChangeAspect="1"/>
            </wp:cNvGraphicFramePr>
            <a:graphic>
              <a:graphicData uri="http://schemas.openxmlformats.org/drawingml/2006/picture">
                <pic:pic>
                  <pic:nvPicPr>
                    <pic:cNvPr id="0" name=""/>
                    <pic:cNvPicPr/>
                  </pic:nvPicPr>
                  <pic:blipFill>
                    <a:blip r:embed="Re5a68ee458074904">
                      <a:extLst>
                        <a:ext xmlns:a="http://schemas.openxmlformats.org/drawingml/2006/main" uri="{28A0092B-C50C-407E-A947-70E740481C1C}">
                          <a14:useLocalDpi val="0"/>
                        </a:ext>
                      </a:extLst>
                    </a:blip>
                    <a:stretch>
                      <a:fillRect/>
                    </a:stretch>
                  </pic:blipFill>
                  <pic:spPr>
                    <a:xfrm>
                      <a:off x="0" y="0"/>
                      <a:ext cx="1461752" cy="457200"/>
                    </a:xfrm>
                    <a:prstGeom prst="rect">
                      <a:avLst/>
                    </a:prstGeom>
                  </pic:spPr>
                </pic:pic>
              </a:graphicData>
            </a:graphic>
          </wp:inline>
        </w:drawing>
      </w:r>
      <w:r>
        <w:drawing>
          <wp:inline wp14:editId="71A90B24" wp14:anchorId="27609248">
            <wp:extent cx="518616" cy="689573"/>
            <wp:effectExtent l="0" t="0" r="0" b="0"/>
            <wp:docPr id="890540535" name="" title=""/>
            <wp:cNvGraphicFramePr>
              <a:graphicFrameLocks noChangeAspect="1"/>
            </wp:cNvGraphicFramePr>
            <a:graphic>
              <a:graphicData uri="http://schemas.openxmlformats.org/drawingml/2006/picture">
                <pic:pic>
                  <pic:nvPicPr>
                    <pic:cNvPr id="0" name=""/>
                    <pic:cNvPicPr/>
                  </pic:nvPicPr>
                  <pic:blipFill>
                    <a:blip r:embed="R696a75bb2ba94555">
                      <a:extLst>
                        <a:ext xmlns:a="http://schemas.openxmlformats.org/drawingml/2006/main" uri="{28A0092B-C50C-407E-A947-70E740481C1C}">
                          <a14:useLocalDpi val="0"/>
                        </a:ext>
                      </a:extLst>
                    </a:blip>
                    <a:stretch>
                      <a:fillRect/>
                    </a:stretch>
                  </pic:blipFill>
                  <pic:spPr>
                    <a:xfrm>
                      <a:off x="0" y="0"/>
                      <a:ext cx="518616" cy="689573"/>
                    </a:xfrm>
                    <a:prstGeom prst="rect">
                      <a:avLst/>
                    </a:prstGeom>
                  </pic:spPr>
                </pic:pic>
              </a:graphicData>
            </a:graphic>
          </wp:inline>
        </w:drawing>
      </w:r>
    </w:p>
    <w:p w:rsidR="00D1010D" w:rsidP="6E496FB5" w:rsidRDefault="00D1010D" w14:paraId="02907034" w14:textId="18562205">
      <w:pPr>
        <w:pStyle w:val="Normal"/>
        <w:spacing w:after="160" w:line="259" w:lineRule="auto"/>
        <w:ind w:left="72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0D1010D" w:rsidP="6E496FB5" w:rsidRDefault="00D1010D" w14:paraId="10A95B5F" w14:textId="725CBBE2">
      <w:pPr>
        <w:pStyle w:val="Normal"/>
        <w:bidi w:val="0"/>
        <w:spacing w:before="0" w:beforeAutospacing="off" w:after="0" w:afterAutospacing="off" w:line="259" w:lineRule="auto"/>
        <w:ind w:left="0" w:right="0"/>
        <w:jc w:val="both"/>
        <w:rPr>
          <w:rFonts w:ascii="Calibri" w:hAnsi="Calibri" w:eastAsia="Calibri" w:cs="Calibri"/>
          <w:b w:val="1"/>
          <w:bCs w:val="1"/>
          <w:i w:val="0"/>
          <w:iCs w:val="0"/>
          <w:caps w:val="0"/>
          <w:smallCaps w:val="0"/>
          <w:noProof w:val="0"/>
          <w:color w:val="00B0F0"/>
          <w:sz w:val="22"/>
          <w:szCs w:val="22"/>
          <w:lang w:val="en-US"/>
        </w:rPr>
      </w:pPr>
      <w:r w:rsidRPr="6E496FB5" w:rsidR="6E496FB5">
        <w:rPr>
          <w:rFonts w:ascii="Calibri" w:hAnsi="Calibri" w:eastAsia="Calibri" w:cs="Calibri"/>
          <w:b w:val="1"/>
          <w:bCs w:val="1"/>
          <w:i w:val="0"/>
          <w:iCs w:val="0"/>
          <w:caps w:val="0"/>
          <w:smallCaps w:val="0"/>
          <w:noProof w:val="0"/>
          <w:color w:val="00B0F0"/>
          <w:sz w:val="22"/>
          <w:szCs w:val="22"/>
          <w:lang w:val="en-US"/>
        </w:rPr>
        <w:t>FAIR for ALL Consortium Members (</w:t>
      </w:r>
      <w:proofErr w:type="spellStart"/>
      <w:r w:rsidRPr="6E496FB5" w:rsidR="6E496FB5">
        <w:rPr>
          <w:rFonts w:ascii="Calibri" w:hAnsi="Calibri" w:eastAsia="Calibri" w:cs="Calibri"/>
          <w:b w:val="1"/>
          <w:bCs w:val="1"/>
          <w:i w:val="0"/>
          <w:iCs w:val="0"/>
          <w:caps w:val="0"/>
          <w:smallCaps w:val="0"/>
          <w:noProof w:val="0"/>
          <w:color w:val="00B0F0"/>
          <w:sz w:val="22"/>
          <w:szCs w:val="22"/>
          <w:lang w:val="en-US"/>
        </w:rPr>
        <w:t>Huairou</w:t>
      </w:r>
      <w:proofErr w:type="spellEnd"/>
      <w:r w:rsidRPr="6E496FB5" w:rsidR="6E496FB5">
        <w:rPr>
          <w:rFonts w:ascii="Calibri" w:hAnsi="Calibri" w:eastAsia="Calibri" w:cs="Calibri"/>
          <w:b w:val="1"/>
          <w:bCs w:val="1"/>
          <w:i w:val="0"/>
          <w:iCs w:val="0"/>
          <w:caps w:val="0"/>
          <w:smallCaps w:val="0"/>
          <w:noProof w:val="0"/>
          <w:color w:val="00B0F0"/>
          <w:sz w:val="22"/>
          <w:szCs w:val="22"/>
          <w:lang w:val="en-US"/>
        </w:rPr>
        <w:t xml:space="preserve"> Commission, TWN Africa, SOMO, Oxfam Novib)</w:t>
      </w:r>
    </w:p>
    <w:p w:rsidR="00D1010D" w:rsidP="6E496FB5" w:rsidRDefault="00D1010D" w14:paraId="274990AB" w14:textId="6EFB6DB4">
      <w:pPr>
        <w:pStyle w:val="Normal"/>
        <w:spacing w:after="160" w:line="259" w:lineRule="auto"/>
        <w:jc w:val="both"/>
      </w:pPr>
      <w:r>
        <w:drawing>
          <wp:inline wp14:editId="01FD4670" wp14:anchorId="3300ABD5">
            <wp:extent cx="1833562" cy="733425"/>
            <wp:effectExtent l="0" t="0" r="0" b="0"/>
            <wp:docPr id="757368786" name="" title=""/>
            <wp:cNvGraphicFramePr>
              <a:graphicFrameLocks noChangeAspect="1"/>
            </wp:cNvGraphicFramePr>
            <a:graphic>
              <a:graphicData uri="http://schemas.openxmlformats.org/drawingml/2006/picture">
                <pic:pic>
                  <pic:nvPicPr>
                    <pic:cNvPr id="0" name=""/>
                    <pic:cNvPicPr/>
                  </pic:nvPicPr>
                  <pic:blipFill>
                    <a:blip r:embed="R42e50db9aec2496a">
                      <a:extLst>
                        <a:ext xmlns:a="http://schemas.openxmlformats.org/drawingml/2006/main" uri="{28A0092B-C50C-407E-A947-70E740481C1C}">
                          <a14:useLocalDpi val="0"/>
                        </a:ext>
                      </a:extLst>
                    </a:blip>
                    <a:stretch>
                      <a:fillRect/>
                    </a:stretch>
                  </pic:blipFill>
                  <pic:spPr>
                    <a:xfrm>
                      <a:off x="0" y="0"/>
                      <a:ext cx="1833562" cy="733425"/>
                    </a:xfrm>
                    <a:prstGeom prst="rect">
                      <a:avLst/>
                    </a:prstGeom>
                  </pic:spPr>
                </pic:pic>
              </a:graphicData>
            </a:graphic>
          </wp:inline>
        </w:drawing>
      </w:r>
      <w:r>
        <w:drawing>
          <wp:inline wp14:editId="70F8B0FB" wp14:anchorId="3CEF4E78">
            <wp:extent cx="1672614" cy="561023"/>
            <wp:effectExtent l="0" t="0" r="0" b="0"/>
            <wp:docPr id="421382308" name="" title=""/>
            <wp:cNvGraphicFramePr>
              <a:graphicFrameLocks noChangeAspect="1"/>
            </wp:cNvGraphicFramePr>
            <a:graphic>
              <a:graphicData uri="http://schemas.openxmlformats.org/drawingml/2006/picture">
                <pic:pic>
                  <pic:nvPicPr>
                    <pic:cNvPr id="0" name=""/>
                    <pic:cNvPicPr/>
                  </pic:nvPicPr>
                  <pic:blipFill>
                    <a:blip r:embed="R289d8777ce2d42d3">
                      <a:extLst>
                        <a:ext xmlns:a="http://schemas.openxmlformats.org/drawingml/2006/main" uri="{28A0092B-C50C-407E-A947-70E740481C1C}">
                          <a14:useLocalDpi val="0"/>
                        </a:ext>
                      </a:extLst>
                    </a:blip>
                    <a:stretch>
                      <a:fillRect/>
                    </a:stretch>
                  </pic:blipFill>
                  <pic:spPr>
                    <a:xfrm>
                      <a:off x="0" y="0"/>
                      <a:ext cx="1672614" cy="561023"/>
                    </a:xfrm>
                    <a:prstGeom prst="rect">
                      <a:avLst/>
                    </a:prstGeom>
                  </pic:spPr>
                </pic:pic>
              </a:graphicData>
            </a:graphic>
          </wp:inline>
        </w:drawing>
      </w:r>
      <w:r>
        <w:drawing>
          <wp:inline wp14:editId="60E7CAA7" wp14:anchorId="735F5E39">
            <wp:extent cx="1408611" cy="513556"/>
            <wp:effectExtent l="0" t="0" r="0" b="0"/>
            <wp:docPr id="1951042032" name="" title=""/>
            <wp:cNvGraphicFramePr>
              <a:graphicFrameLocks noChangeAspect="1"/>
            </wp:cNvGraphicFramePr>
            <a:graphic>
              <a:graphicData uri="http://schemas.openxmlformats.org/drawingml/2006/picture">
                <pic:pic>
                  <pic:nvPicPr>
                    <pic:cNvPr id="0" name=""/>
                    <pic:cNvPicPr/>
                  </pic:nvPicPr>
                  <pic:blipFill>
                    <a:blip r:embed="R38a4fd32d3e24668">
                      <a:extLst>
                        <a:ext xmlns:a="http://schemas.openxmlformats.org/drawingml/2006/main" uri="{28A0092B-C50C-407E-A947-70E740481C1C}">
                          <a14:useLocalDpi val="0"/>
                        </a:ext>
                      </a:extLst>
                    </a:blip>
                    <a:stretch>
                      <a:fillRect/>
                    </a:stretch>
                  </pic:blipFill>
                  <pic:spPr>
                    <a:xfrm>
                      <a:off x="0" y="0"/>
                      <a:ext cx="1408611" cy="513556"/>
                    </a:xfrm>
                    <a:prstGeom prst="rect">
                      <a:avLst/>
                    </a:prstGeom>
                  </pic:spPr>
                </pic:pic>
              </a:graphicData>
            </a:graphic>
          </wp:inline>
        </w:drawing>
      </w:r>
      <w:r>
        <w:drawing>
          <wp:inline wp14:editId="1FB857C0" wp14:anchorId="36BCD722">
            <wp:extent cx="518616" cy="689573"/>
            <wp:effectExtent l="0" t="0" r="0" b="0"/>
            <wp:docPr id="615647365" name="" title=""/>
            <wp:cNvGraphicFramePr>
              <a:graphicFrameLocks noChangeAspect="1"/>
            </wp:cNvGraphicFramePr>
            <a:graphic>
              <a:graphicData uri="http://schemas.openxmlformats.org/drawingml/2006/picture">
                <pic:pic>
                  <pic:nvPicPr>
                    <pic:cNvPr id="0" name=""/>
                    <pic:cNvPicPr/>
                  </pic:nvPicPr>
                  <pic:blipFill>
                    <a:blip r:embed="R96674878ad494d0a">
                      <a:extLst>
                        <a:ext xmlns:a="http://schemas.openxmlformats.org/drawingml/2006/main" uri="{28A0092B-C50C-407E-A947-70E740481C1C}">
                          <a14:useLocalDpi val="0"/>
                        </a:ext>
                      </a:extLst>
                    </a:blip>
                    <a:stretch>
                      <a:fillRect/>
                    </a:stretch>
                  </pic:blipFill>
                  <pic:spPr>
                    <a:xfrm>
                      <a:off x="0" y="0"/>
                      <a:ext cx="518616" cy="689573"/>
                    </a:xfrm>
                    <a:prstGeom prst="rect">
                      <a:avLst/>
                    </a:prstGeom>
                  </pic:spPr>
                </pic:pic>
              </a:graphicData>
            </a:graphic>
          </wp:inline>
        </w:drawing>
      </w:r>
    </w:p>
    <w:p w:rsidR="00D1010D" w:rsidP="6E496FB5" w:rsidRDefault="00D1010D" w14:paraId="37082F02" w14:textId="2D694D15">
      <w:pPr>
        <w:pStyle w:val="Normal"/>
        <w:spacing w:after="160" w:line="259" w:lineRule="auto"/>
        <w:ind w:left="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0D1010D" w:rsidP="6E496FB5" w:rsidRDefault="00D1010D" w14:paraId="0BC8B9D5" w14:textId="29B4C3B5">
      <w:pPr>
        <w:pStyle w:val="ListParagraph"/>
        <w:numPr>
          <w:ilvl w:val="1"/>
          <w:numId w:val="1"/>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For this fund, the lead applicant </w:t>
      </w:r>
      <w:proofErr w:type="spellStart"/>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organisation</w:t>
      </w:r>
      <w:proofErr w:type="spellEnd"/>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must be legally registered,</w:t>
      </w:r>
    </w:p>
    <w:p w:rsidR="00D1010D" w:rsidP="08D277A0" w:rsidRDefault="00D1010D" w14:paraId="1A17E735" w14:textId="5339842D">
      <w:pPr>
        <w:pStyle w:val="ListParagraph"/>
        <w:numPr>
          <w:ilvl w:val="1"/>
          <w:numId w:val="1"/>
        </w:numPr>
        <w:spacing w:after="160" w:line="259" w:lineRule="auto"/>
        <w:jc w:val="both"/>
        <w:rPr>
          <w:b w:val="0"/>
          <w:bCs w:val="0"/>
          <w:i w:val="0"/>
          <w:iCs w:val="0"/>
          <w:caps w:val="0"/>
          <w:smallCaps w:val="0"/>
          <w:noProof w:val="0"/>
          <w:color w:val="000000" w:themeColor="text1" w:themeTint="FF" w:themeShade="FF"/>
          <w:sz w:val="22"/>
          <w:szCs w:val="22"/>
          <w:lang w:val="en-US"/>
        </w:rPr>
      </w:pPr>
      <w:r w:rsidRPr="08D277A0" w:rsidR="08D277A0">
        <w:rPr>
          <w:rFonts w:ascii="Calibri" w:hAnsi="Calibri" w:eastAsia="Calibri" w:cs="Calibri"/>
          <w:b w:val="0"/>
          <w:bCs w:val="0"/>
          <w:i w:val="0"/>
          <w:iCs w:val="0"/>
          <w:caps w:val="0"/>
          <w:smallCaps w:val="0"/>
          <w:noProof w:val="0"/>
          <w:color w:val="000000" w:themeColor="text1" w:themeTint="FF" w:themeShade="FF"/>
          <w:sz w:val="22"/>
          <w:szCs w:val="22"/>
          <w:lang w:val="en-US"/>
        </w:rPr>
        <w:t>Consortium Members are encouraged to share this funding opportunity with their partners but not apply for themselves,</w:t>
      </w:r>
    </w:p>
    <w:p w:rsidR="00D1010D" w:rsidP="6E496FB5" w:rsidRDefault="00D1010D" w14:paraId="4F891B25" w14:textId="0F6835C7">
      <w:pPr>
        <w:pStyle w:val="ListParagraph"/>
        <w:numPr>
          <w:ilvl w:val="1"/>
          <w:numId w:val="1"/>
        </w:numPr>
        <w:spacing w:after="160" w:line="259" w:lineRule="auto"/>
        <w:jc w:val="both"/>
        <w:rPr>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Priority will be given to partners representing under-funded and under-representative groups. </w:t>
      </w:r>
    </w:p>
    <w:p w:rsidR="00D1010D" w:rsidP="6E496FB5" w:rsidRDefault="00D1010D" w14:paraId="0B8F1DFB" w14:textId="32593A84">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0D1010D" w:rsidP="6E496FB5" w:rsidRDefault="00D1010D" w14:paraId="61C71234" w14:textId="206CF6C6">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Applications will be assessed against the </w:t>
      </w:r>
      <w:proofErr w:type="spellStart"/>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programmes’</w:t>
      </w:r>
      <w:proofErr w:type="spellEnd"/>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Theory of Change with a focus on funding actions related to lobby, advocacy, campaigning, caravanning, convening or other creative ideas (such as, art as activism) that contribute to the Fair For All or African Activists for Climate Justice</w:t>
      </w: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objectives:</w:t>
      </w:r>
    </w:p>
    <w:p w:rsidR="00D1010D" w:rsidP="6E496FB5" w:rsidRDefault="00D1010D" w14:paraId="5734A8EA" w14:textId="05F9542F">
      <w:pPr>
        <w:pStyle w:val="ListParagraph"/>
        <w:numPr>
          <w:ilvl w:val="2"/>
          <w:numId w:val="2"/>
        </w:numPr>
        <w:spacing w:after="160"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1"/>
          <w:bCs w:val="1"/>
          <w:i w:val="0"/>
          <w:iCs w:val="0"/>
          <w:caps w:val="0"/>
          <w:smallCaps w:val="0"/>
          <w:noProof w:val="0"/>
          <w:color w:val="00B0F0"/>
          <w:sz w:val="22"/>
          <w:szCs w:val="22"/>
          <w:lang w:val="en-US"/>
        </w:rPr>
        <w:t>FAIR for All:</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strengthened Civil Society which is capable of creating space and mobilizing people across geographies to demand and contribute to more inclusive and sustainable trade and value-chains that respect human rights, protect the environment and promote women’s economic empowerment. This implies rebalancing developing countries’ reliance on dominant primary-commodity value </w:t>
      </w:r>
      <w:r w:rsidRPr="6E496FB5" w:rsidR="6E496FB5">
        <w:rPr>
          <w:rFonts w:ascii="Calibri" w:hAnsi="Calibri" w:eastAsia="Calibri" w:cs="Calibri"/>
          <w:b w:val="0"/>
          <w:bCs w:val="0"/>
          <w:i w:val="0"/>
          <w:iCs w:val="0"/>
          <w:caps w:val="0"/>
          <w:smallCaps w:val="0"/>
          <w:noProof w:val="0"/>
          <w:color w:val="262626" w:themeColor="text1" w:themeTint="D9" w:themeShade="FF"/>
          <w:sz w:val="22"/>
          <w:szCs w:val="22"/>
          <w:lang w:val="en-US"/>
        </w:rPr>
        <w:t>chains</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reforming tax and trade regimes and increasing investment in local and national value chains that benefit small-scale farmers, workers and artisanal miners; in particular women and their communities.</w:t>
      </w:r>
    </w:p>
    <w:p w:rsidR="00D1010D" w:rsidP="6265DC0A" w:rsidRDefault="00D1010D" w14:paraId="108DA47F" w14:textId="4E92680A">
      <w:pPr>
        <w:pStyle w:val="ListParagraph"/>
        <w:numPr>
          <w:ilvl w:val="2"/>
          <w:numId w:val="2"/>
        </w:numPr>
        <w:spacing w:after="160"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1"/>
          <w:bCs w:val="1"/>
          <w:i w:val="0"/>
          <w:iCs w:val="0"/>
          <w:caps w:val="0"/>
          <w:smallCaps w:val="0"/>
          <w:noProof w:val="0"/>
          <w:color w:val="6FAC47"/>
          <w:sz w:val="22"/>
          <w:szCs w:val="22"/>
          <w:lang w:val="en-US"/>
        </w:rPr>
        <w:t>AACJ</w:t>
      </w:r>
      <w:r w:rsidRPr="6265DC0A" w:rsidR="6265DC0A">
        <w:rPr>
          <w:rFonts w:ascii="Calibri" w:hAnsi="Calibri" w:eastAsia="Calibri" w:cs="Calibri"/>
          <w:b w:val="0"/>
          <w:bCs w:val="0"/>
          <w:i w:val="0"/>
          <w:iCs w:val="0"/>
          <w:caps w:val="0"/>
          <w:smallCaps w:val="0"/>
          <w:noProof w:val="0"/>
          <w:color w:val="6FAC47"/>
          <w:sz w:val="22"/>
          <w:szCs w:val="22"/>
          <w:lang w:val="en-US"/>
        </w:rPr>
        <w:t>:</w:t>
      </w: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Women, youth, local and indigenous communities can defend and </w:t>
      </w:r>
      <w:proofErr w:type="spellStart"/>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realise</w:t>
      </w:r>
      <w:proofErr w:type="spellEnd"/>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their human rights and living dignified life in a healthy and sustainable environment, within the context of climate change.</w:t>
      </w:r>
    </w:p>
    <w:p w:rsidR="00D1010D" w:rsidP="6E496FB5" w:rsidRDefault="00D1010D" w14:paraId="0EF980ED" w14:textId="7BA670AC">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Not eligible</w:t>
      </w: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This fund does not support humanitarian aid, planned </w:t>
      </w:r>
      <w:proofErr w:type="spellStart"/>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programme</w:t>
      </w:r>
      <w:proofErr w:type="spellEnd"/>
      <w:r w:rsidRPr="6E496FB5" w:rsidR="6E496FB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activities (those in your annual workplan), infrastructure or traditional development work. This fund is not able to supplement funding for already planned activities, but is available for strengthening alliances to respond to a new or sudden influencing opportunity.</w:t>
      </w:r>
    </w:p>
    <w:p w:rsidR="00D1010D" w:rsidP="6E496FB5" w:rsidRDefault="00D1010D" w14:paraId="1AFD9DD5" w14:textId="29F1EB17">
      <w:pPr>
        <w:pStyle w:val="Heading1"/>
        <w:bidi w:val="0"/>
        <w:rPr>
          <w:b w:val="1"/>
          <w:bCs w:val="1"/>
          <w:noProof w:val="0"/>
          <w:color w:val="00B0F0"/>
          <w:lang w:val="en-US"/>
        </w:rPr>
      </w:pPr>
      <w:bookmarkStart w:name="_Toc915761516" w:id="1139708747"/>
      <w:r w:rsidRPr="6E496FB5" w:rsidR="6E496FB5">
        <w:rPr>
          <w:b w:val="1"/>
          <w:bCs w:val="1"/>
          <w:noProof w:val="0"/>
          <w:color w:val="00B0F0"/>
          <w:lang w:val="en-US"/>
        </w:rPr>
        <w:t>How much can we apply for?</w:t>
      </w:r>
      <w:bookmarkEnd w:id="1139708747"/>
    </w:p>
    <w:p w:rsidR="00D1010D" w:rsidP="6E496FB5" w:rsidRDefault="00D1010D" w14:paraId="31AC7F1B" w14:textId="04C99737">
      <w:pPr>
        <w:pStyle w:val="Normal"/>
        <w:bidi w:val="0"/>
        <w:rPr>
          <w:noProof w:val="0"/>
          <w:lang w:val="en-US"/>
        </w:rPr>
      </w:pPr>
    </w:p>
    <w:p w:rsidR="00D1010D" w:rsidP="6265DC0A" w:rsidRDefault="00D1010D" w14:paraId="26BD3741" w14:textId="34D0B968">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Applicants can request between EUR 10.000 and up to 100.000 on behalf of a collective, to contribute or strengthen their work to respond to the sudden opportunity. It is anticipated that the average grant will be around EUR 25.000.</w:t>
      </w:r>
      <w:r w:rsidRPr="6265DC0A" w:rsidR="6265DC0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EUR 500.000 in 2022</w:t>
      </w: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available to provide support for collective action initiatives to either strengthen an alliance or respond to a sudden opportunity.</w:t>
      </w:r>
    </w:p>
    <w:p w:rsidR="00D1010D" w:rsidP="6E496FB5" w:rsidRDefault="00D1010D" w14:paraId="31CA4396" w14:textId="1A81CE25">
      <w:pPr>
        <w:pStyle w:val="ListParagraph"/>
        <w:numPr>
          <w:ilvl w:val="0"/>
          <w:numId w:val="6"/>
        </w:numPr>
        <w:spacing w:after="160"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70AD47" w:themeColor="accent6" w:themeTint="FF" w:themeShade="FF"/>
          <w:sz w:val="22"/>
          <w:szCs w:val="22"/>
          <w:lang w:val="en-US"/>
        </w:rPr>
      </w:pPr>
      <w:r w:rsidRPr="6E496FB5" w:rsidR="6E496FB5">
        <w:rPr>
          <w:rFonts w:ascii="Calibri" w:hAnsi="Calibri" w:eastAsia="Calibri" w:cs="Calibri"/>
          <w:b w:val="1"/>
          <w:bCs w:val="1"/>
          <w:i w:val="0"/>
          <w:iCs w:val="0"/>
          <w:caps w:val="0"/>
          <w:smallCaps w:val="0"/>
          <w:noProof w:val="0"/>
          <w:color w:val="70AD47" w:themeColor="accent6" w:themeTint="FF" w:themeShade="FF"/>
          <w:sz w:val="22"/>
          <w:szCs w:val="22"/>
          <w:lang w:val="en-US"/>
        </w:rPr>
        <w:t>What types of actions can we apply for?</w:t>
      </w:r>
    </w:p>
    <w:p w:rsidR="00D1010D" w:rsidP="6265DC0A" w:rsidRDefault="00D1010D" w14:paraId="3CF9BF81" w14:textId="4E2F8C95">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funds are meant to be flexible, with a focus on strengthening alliances in order to respond to unplanned opportunities for influencing. </w:t>
      </w:r>
    </w:p>
    <w:p w:rsidR="00D1010D" w:rsidP="6E496FB5" w:rsidRDefault="00D1010D" w14:paraId="377C7096" w14:textId="422C40A5">
      <w:pPr>
        <w:pStyle w:val="Normal"/>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Examples include, but are not limited to:</w:t>
      </w:r>
    </w:p>
    <w:p w:rsidR="00D1010D" w:rsidP="6E496FB5" w:rsidRDefault="00D1010D" w14:paraId="41694F71" w14:textId="1BFEF01C">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Coming together to jointly mobilize and organize their constituencies and audiences offline and online,</w:t>
      </w:r>
    </w:p>
    <w:p w:rsidR="00D1010D" w:rsidP="6E496FB5" w:rsidRDefault="00D1010D" w14:paraId="4CC7A88E" w14:textId="310DDD03">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Bring in women (and other under-represented groups) movements and voices to allow for increased representation and ownership,</w:t>
      </w:r>
    </w:p>
    <w:p w:rsidR="00D1010D" w:rsidP="6E496FB5" w:rsidRDefault="00D1010D" w14:paraId="689C8709" w14:textId="588537E9">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Strengthening the network and complementarity of roles by creating opportunities for new or innovative approaches,</w:t>
      </w:r>
    </w:p>
    <w:p w:rsidR="00D1010D" w:rsidP="6E496FB5" w:rsidRDefault="00D1010D" w14:paraId="41751867" w14:textId="3A654404">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Linking national alliances to global networks and platforms to leverage external support for their own asks, and</w:t>
      </w:r>
    </w:p>
    <w:p w:rsidR="00D1010D" w:rsidP="6265DC0A" w:rsidRDefault="00D1010D" w14:paraId="5A278A02" w14:textId="09DC00EF">
      <w:pPr>
        <w:pStyle w:val="ListParagraph"/>
        <w:numPr>
          <w:ilvl w:val="0"/>
          <w:numId w:val="3"/>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Providing seed money to support the activation of (new) alliances on emerging issues,</w:t>
      </w:r>
    </w:p>
    <w:p w:rsidR="00D1010D" w:rsidP="6265DC0A" w:rsidRDefault="00D1010D" w14:paraId="26A21F00" w14:textId="56AE7553">
      <w:pPr>
        <w:pStyle w:val="ListParagraph"/>
        <w:numPr>
          <w:ilvl w:val="0"/>
          <w:numId w:val="3"/>
        </w:numPr>
        <w:spacing w:after="160" w:line="259" w:lineRule="auto"/>
        <w:jc w:val="both"/>
        <w:rPr>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Support for national and regional ‘Caravan to COP27’ actions under AACJ</w:t>
      </w:r>
    </w:p>
    <w:p w:rsidR="00D1010D" w:rsidP="6E496FB5" w:rsidRDefault="00D1010D" w14:paraId="27D453D4" w14:textId="3BA89A76">
      <w:pPr>
        <w:pStyle w:val="Heading1"/>
        <w:rPr>
          <w:rFonts w:ascii="Calibri Light" w:hAnsi="Calibri Light" w:eastAsia="" w:cs=""/>
          <w:b w:val="1"/>
          <w:bCs w:val="1"/>
          <w:i w:val="0"/>
          <w:iCs w:val="0"/>
          <w:caps w:val="0"/>
          <w:smallCaps w:val="0"/>
          <w:noProof w:val="0"/>
          <w:color w:val="00B0F0"/>
          <w:sz w:val="32"/>
          <w:szCs w:val="32"/>
          <w:lang w:val="en-US"/>
        </w:rPr>
      </w:pPr>
      <w:bookmarkStart w:name="_Toc1707928353" w:id="1921803689"/>
      <w:r w:rsidRPr="6E496FB5" w:rsidR="6E496FB5">
        <w:rPr>
          <w:b w:val="1"/>
          <w:bCs w:val="1"/>
          <w:noProof w:val="0"/>
          <w:color w:val="00B0F0"/>
          <w:lang w:val="en-US"/>
        </w:rPr>
        <w:t>What is the application deadline?</w:t>
      </w:r>
      <w:bookmarkEnd w:id="1921803689"/>
    </w:p>
    <w:p w:rsidR="00D1010D" w:rsidP="6265DC0A" w:rsidRDefault="00D1010D" w14:paraId="1878104E" w14:textId="0648F97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fund is open until the end of 2022 (with the intention to receive applications on a rolling basis until the end of the Power of Voices </w:t>
      </w:r>
      <w:proofErr w:type="spellStart"/>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Programme</w:t>
      </w:r>
      <w:proofErr w:type="spellEnd"/>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which allows applications for sudden opportunities that may arise throughout the </w:t>
      </w:r>
      <w:proofErr w:type="spellStart"/>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programme</w:t>
      </w:r>
      <w:proofErr w:type="spellEnd"/>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duration. The idea is to provide flexible funding to respond to opportunities not present at the time of annual planning and that was not budgeted for. </w:t>
      </w:r>
    </w:p>
    <w:p w:rsidR="00D1010D" w:rsidP="6E496FB5" w:rsidRDefault="00D1010D" w14:paraId="02202437" w14:textId="094A173E">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Funds will be assessed on a rolling basis with the decisions to be made within 4 – 6 weeks. </w:t>
      </w:r>
    </w:p>
    <w:p w:rsidR="00D1010D" w:rsidP="6265DC0A" w:rsidRDefault="00D1010D" w14:paraId="4FF3D212" w14:textId="5969DDFE">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Please indicate the start date when you will need the funds in order to take action.</w:t>
      </w:r>
    </w:p>
    <w:p w:rsidR="00D1010D" w:rsidP="6265DC0A" w:rsidRDefault="00D1010D" w14:paraId="104A865D" w14:textId="427334D9">
      <w:pPr>
        <w:spacing w:after="160" w:line="259" w:lineRule="auto"/>
        <w:ind/>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Note: </w:t>
      </w:r>
      <w:proofErr w:type="spellStart"/>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programme</w:t>
      </w:r>
      <w:proofErr w:type="spellEnd"/>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partners with underspend may be asked to first re-allocate unspent resources before being provided with additional funding. This will be addressed on a case-by-case basis.</w:t>
      </w:r>
    </w:p>
    <w:p w:rsidR="00D1010D" w:rsidP="6E496FB5" w:rsidRDefault="00D1010D" w14:paraId="5FE958F2" w14:textId="0B38763A">
      <w:pPr>
        <w:pStyle w:val="Heading1"/>
        <w:rPr>
          <w:b w:val="1"/>
          <w:bCs w:val="1"/>
          <w:noProof w:val="0"/>
          <w:color w:val="00B0F0"/>
          <w:lang w:val="en-US"/>
        </w:rPr>
      </w:pPr>
      <w:bookmarkStart w:name="_Toc2110661077" w:id="620600664"/>
      <w:r w:rsidRPr="6E496FB5" w:rsidR="6E496FB5">
        <w:rPr>
          <w:b w:val="1"/>
          <w:bCs w:val="1"/>
          <w:noProof w:val="0"/>
          <w:color w:val="00B0F0"/>
          <w:lang w:val="en-US"/>
        </w:rPr>
        <w:t>What is the decision-making process?</w:t>
      </w:r>
      <w:bookmarkEnd w:id="620600664"/>
    </w:p>
    <w:p w:rsidR="00D1010D" w:rsidP="6265DC0A" w:rsidRDefault="00D1010D" w14:paraId="4E1B9717" w14:textId="7C2FC3E3">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265DC0A" w:rsidR="6265DC0A">
        <w:rPr>
          <w:rFonts w:ascii="Calibri" w:hAnsi="Calibri" w:eastAsia="Calibri" w:cs="Calibri"/>
          <w:b w:val="0"/>
          <w:bCs w:val="0"/>
          <w:i w:val="0"/>
          <w:iCs w:val="0"/>
          <w:caps w:val="0"/>
          <w:smallCaps w:val="0"/>
          <w:noProof w:val="0"/>
          <w:color w:val="000000" w:themeColor="text1" w:themeTint="FF" w:themeShade="FF"/>
          <w:sz w:val="22"/>
          <w:szCs w:val="22"/>
          <w:lang w:val="en-US"/>
        </w:rPr>
        <w:t>Applications will be scored by the external fund advisory committee and representatives from the projects based on:</w:t>
      </w:r>
    </w:p>
    <w:p w:rsidR="00D1010D" w:rsidP="6E496FB5" w:rsidRDefault="00D1010D" w14:paraId="334B7826" w14:textId="445F9896">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The suddenness of the influencing opportunity and proposed timeline,</w:t>
      </w:r>
    </w:p>
    <w:p w:rsidR="00D1010D" w:rsidP="6E496FB5" w:rsidRDefault="00D1010D" w14:paraId="472B87E3" w14:textId="7045D51A">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relevance of the idea and its link to the </w:t>
      </w:r>
      <w:proofErr w:type="spellStart"/>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programme</w:t>
      </w:r>
      <w:proofErr w:type="spellEnd"/>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objectives of Fair For All or African Activists for Climate Justice,</w:t>
      </w:r>
    </w:p>
    <w:p w:rsidR="00D1010D" w:rsidP="6E496FB5" w:rsidRDefault="00D1010D" w14:paraId="198BD324" w14:textId="002295EC">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The type of alliance or collective requesting funding and the distribution amongst partners (with the priority to resource under-funded groups to increase their influencing),</w:t>
      </w:r>
    </w:p>
    <w:p w:rsidR="00D1010D" w:rsidP="6E496FB5" w:rsidRDefault="00D1010D" w14:paraId="37FF3533" w14:textId="0C096648">
      <w:pPr>
        <w:pStyle w:val="ListParagraph"/>
        <w:numPr>
          <w:ilvl w:val="0"/>
          <w:numId w:val="4"/>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96FB5" w:rsidR="6E496FB5">
        <w:rPr>
          <w:rFonts w:ascii="Calibri" w:hAnsi="Calibri" w:eastAsia="Calibri" w:cs="Calibri"/>
          <w:b w:val="0"/>
          <w:bCs w:val="0"/>
          <w:i w:val="0"/>
          <w:iCs w:val="0"/>
          <w:caps w:val="0"/>
          <w:smallCaps w:val="0"/>
          <w:noProof w:val="0"/>
          <w:color w:val="000000" w:themeColor="text1" w:themeTint="FF" w:themeShade="FF"/>
          <w:sz w:val="22"/>
          <w:szCs w:val="22"/>
          <w:lang w:val="en-US"/>
        </w:rPr>
        <w:t>The availability of funds and distribution of resources between countries/regions and topics.</w:t>
      </w:r>
    </w:p>
    <w:p w:rsidR="00D1010D" w:rsidP="6E496FB5" w:rsidRDefault="00D1010D" w14:paraId="01D2B4C8" w14:textId="38262852">
      <w:pPr>
        <w:pStyle w:val="Normal"/>
        <w:rPr>
          <w:rFonts w:ascii="Calibri" w:hAnsi="Calibri" w:eastAsia="Calibri" w:cs="Calibri"/>
          <w:b w:val="1"/>
          <w:bCs w:val="1"/>
          <w:i w:val="0"/>
          <w:iCs w:val="0"/>
        </w:rPr>
      </w:pPr>
    </w:p>
    <w:p w:rsidR="6E496FB5" w:rsidP="6E496FB5" w:rsidRDefault="6E496FB5" w14:paraId="0F26525B" w14:textId="5B150EED">
      <w:pPr>
        <w:pStyle w:val="Heading1"/>
        <w:rPr>
          <w:rFonts w:ascii="Calibri Light" w:hAnsi="Calibri Light" w:eastAsia="" w:cs=""/>
          <w:b w:val="1"/>
          <w:bCs w:val="1"/>
          <w:i w:val="0"/>
          <w:iCs w:val="0"/>
          <w:color w:val="5EA642"/>
          <w:sz w:val="32"/>
          <w:szCs w:val="32"/>
        </w:rPr>
      </w:pPr>
      <w:bookmarkStart w:name="_Toc1844247913" w:id="488932265"/>
      <w:r w:rsidRPr="6E496FB5" w:rsidR="6E496FB5">
        <w:rPr>
          <w:b w:val="1"/>
          <w:bCs w:val="1"/>
          <w:color w:val="5EA642"/>
        </w:rPr>
        <w:t>How To Apply:</w:t>
      </w:r>
      <w:bookmarkEnd w:id="488932265"/>
    </w:p>
    <w:p w:rsidR="6E496FB5" w:rsidP="6E496FB5" w:rsidRDefault="6E496FB5" w14:paraId="7CD4CED5" w14:textId="74689D68">
      <w:pPr>
        <w:pStyle w:val="Normal"/>
        <w:rPr>
          <w:color w:val="auto"/>
          <w:sz w:val="36"/>
          <w:szCs w:val="36"/>
        </w:rPr>
      </w:pPr>
      <w:r w:rsidRPr="6265DC0A" w:rsidR="6265DC0A">
        <w:rPr>
          <w:color w:val="auto"/>
          <w:sz w:val="22"/>
          <w:szCs w:val="22"/>
        </w:rPr>
        <w:t xml:space="preserve">Link EN: </w:t>
      </w:r>
      <w:hyperlink r:id="R03a7bd706d1a4947">
        <w:r w:rsidRPr="6265DC0A" w:rsidR="6265DC0A">
          <w:rPr>
            <w:rStyle w:val="Hyperlink"/>
            <w:sz w:val="22"/>
            <w:szCs w:val="22"/>
          </w:rPr>
          <w:t>https://www.cognitoforms.com/OxfamNovib1/SuddenOpportunityCampaignFunds</w:t>
        </w:r>
      </w:hyperlink>
      <w:r w:rsidRPr="6265DC0A" w:rsidR="6265DC0A">
        <w:rPr>
          <w:color w:val="auto"/>
          <w:sz w:val="22"/>
          <w:szCs w:val="22"/>
        </w:rPr>
        <w:t xml:space="preserve"> </w:t>
      </w:r>
    </w:p>
    <w:p w:rsidR="6265DC0A" w:rsidP="08D277A0" w:rsidRDefault="6265DC0A" w14:paraId="3A98CFE0" w14:textId="3115B2BE">
      <w:pPr>
        <w:pStyle w:val="Normal"/>
      </w:pPr>
      <w:r w:rsidRPr="08D277A0" w:rsidR="08D277A0">
        <w:rPr>
          <w:color w:val="auto"/>
          <w:sz w:val="22"/>
          <w:szCs w:val="22"/>
        </w:rPr>
        <w:t xml:space="preserve">Link FR: </w:t>
      </w:r>
      <w:r w:rsidRPr="08D277A0" w:rsidR="08D277A0">
        <w:rPr>
          <w:rFonts w:ascii="Calibri" w:hAnsi="Calibri" w:eastAsia="Calibri" w:cs="Calibri"/>
          <w:b w:val="0"/>
          <w:bCs w:val="0"/>
          <w:i w:val="0"/>
          <w:iCs w:val="0"/>
          <w:caps w:val="0"/>
          <w:smallCaps w:val="0"/>
          <w:noProof w:val="0"/>
          <w:color w:val="242424"/>
          <w:sz w:val="21"/>
          <w:szCs w:val="21"/>
          <w:lang w:val="en-US"/>
        </w:rPr>
        <w:t xml:space="preserve">FR </w:t>
      </w:r>
      <w:hyperlink r:id="R4c95014fd39149a2">
        <w:r w:rsidRPr="08D277A0" w:rsidR="08D277A0">
          <w:rPr>
            <w:rStyle w:val="Hyperlink"/>
            <w:rFonts w:ascii="Calibri" w:hAnsi="Calibri" w:eastAsia="Calibri" w:cs="Calibri"/>
            <w:b w:val="0"/>
            <w:bCs w:val="0"/>
            <w:i w:val="0"/>
            <w:iCs w:val="0"/>
            <w:caps w:val="0"/>
            <w:smallCaps w:val="0"/>
            <w:strike w:val="0"/>
            <w:dstrike w:val="0"/>
            <w:noProof w:val="0"/>
            <w:sz w:val="21"/>
            <w:szCs w:val="21"/>
            <w:lang w:val="en-US"/>
          </w:rPr>
          <w:t>Fonds de la campagne Opportunité soudaine (www-cognitoforms-com.translate.goog)</w:t>
        </w:r>
        <w:r>
          <w:br/>
        </w:r>
      </w:hyperlink>
      <w:r w:rsidRPr="08D277A0" w:rsidR="08D277A0">
        <w:rPr>
          <w:color w:val="auto"/>
          <w:sz w:val="22"/>
          <w:szCs w:val="22"/>
        </w:rPr>
        <w:t xml:space="preserve">Link PT: </w:t>
      </w:r>
      <w:r w:rsidRPr="08D277A0" w:rsidR="08D277A0">
        <w:rPr>
          <w:rFonts w:ascii="Calibri" w:hAnsi="Calibri" w:eastAsia="Calibri" w:cs="Calibri"/>
          <w:b w:val="0"/>
          <w:bCs w:val="0"/>
          <w:i w:val="0"/>
          <w:iCs w:val="0"/>
          <w:caps w:val="0"/>
          <w:smallCaps w:val="0"/>
          <w:noProof w:val="0"/>
          <w:color w:val="242424"/>
          <w:sz w:val="21"/>
          <w:szCs w:val="21"/>
          <w:lang w:val="en-US"/>
        </w:rPr>
        <w:t xml:space="preserve">PT </w:t>
      </w:r>
      <w:hyperlink r:id="R3ade3f7ad9c248e4">
        <w:r w:rsidRPr="08D277A0" w:rsidR="08D277A0">
          <w:rPr>
            <w:rStyle w:val="Hyperlink"/>
            <w:rFonts w:ascii="Calibri" w:hAnsi="Calibri" w:eastAsia="Calibri" w:cs="Calibri"/>
            <w:b w:val="0"/>
            <w:bCs w:val="0"/>
            <w:i w:val="0"/>
            <w:iCs w:val="0"/>
            <w:caps w:val="0"/>
            <w:smallCaps w:val="0"/>
            <w:strike w:val="0"/>
            <w:dstrike w:val="0"/>
            <w:noProof w:val="0"/>
            <w:sz w:val="21"/>
            <w:szCs w:val="21"/>
            <w:lang w:val="en-US"/>
          </w:rPr>
          <w:t>Fundos de campanha de oportunidade súbita (www-cognitoforms-com.translate.goog)</w:t>
        </w:r>
      </w:hyperlink>
    </w:p>
    <w:p w:rsidR="6E496FB5" w:rsidP="6E496FB5" w:rsidRDefault="6E496FB5" w14:paraId="24BED247" w14:textId="242725EC">
      <w:pPr>
        <w:pStyle w:val="Normal"/>
        <w:rPr>
          <w:color w:val="auto"/>
          <w:sz w:val="22"/>
          <w:szCs w:val="22"/>
        </w:rPr>
      </w:pPr>
    </w:p>
    <w:p w:rsidR="6E496FB5" w:rsidP="6265DC0A" w:rsidRDefault="6E496FB5" w14:paraId="514D8FCF" w14:textId="4A64A691">
      <w:pPr>
        <w:pStyle w:val="Normal"/>
        <w:rPr>
          <w:b w:val="1"/>
          <w:bCs w:val="1"/>
          <w:color w:val="auto"/>
          <w:sz w:val="22"/>
          <w:szCs w:val="22"/>
        </w:rPr>
      </w:pPr>
      <w:r w:rsidRPr="6265DC0A" w:rsidR="6265DC0A">
        <w:rPr>
          <w:color w:val="auto"/>
          <w:sz w:val="22"/>
          <w:szCs w:val="22"/>
        </w:rPr>
        <w:t xml:space="preserve">Applications will be received via the form link. </w:t>
      </w:r>
      <w:r w:rsidRPr="6265DC0A" w:rsidR="6265DC0A">
        <w:rPr>
          <w:b w:val="1"/>
          <w:bCs w:val="1"/>
          <w:color w:val="auto"/>
          <w:sz w:val="22"/>
          <w:szCs w:val="22"/>
        </w:rPr>
        <w:t>There are eight steps to the application.</w:t>
      </w:r>
    </w:p>
    <w:p w:rsidR="6E496FB5" w:rsidP="6E496FB5" w:rsidRDefault="6E496FB5" w14:paraId="3510634E" w14:textId="783AF824">
      <w:pPr>
        <w:pStyle w:val="Normal"/>
        <w:rPr>
          <w:color w:val="auto"/>
          <w:sz w:val="22"/>
          <w:szCs w:val="22"/>
        </w:rPr>
      </w:pPr>
    </w:p>
    <w:p w:rsidR="6E496FB5" w:rsidP="6E496FB5" w:rsidRDefault="6E496FB5" w14:paraId="2B288A80" w14:textId="107FC579">
      <w:pPr>
        <w:pStyle w:val="Heading2"/>
        <w:rPr>
          <w:rFonts w:ascii="Calibri Light" w:hAnsi="Calibri Light" w:eastAsia="" w:cs=""/>
          <w:b w:val="1"/>
          <w:bCs w:val="1"/>
          <w:i w:val="0"/>
          <w:iCs w:val="0"/>
          <w:color w:val="00B0F0"/>
          <w:sz w:val="26"/>
          <w:szCs w:val="26"/>
        </w:rPr>
      </w:pPr>
      <w:bookmarkStart w:name="_Toc1943647238" w:id="532394211"/>
      <w:r w:rsidRPr="6E496FB5" w:rsidR="6E496FB5">
        <w:rPr>
          <w:b w:val="1"/>
          <w:bCs w:val="1"/>
          <w:color w:val="00B0F0"/>
        </w:rPr>
        <w:t xml:space="preserve">Step 1 - Select the lead </w:t>
      </w:r>
      <w:proofErr w:type="spellStart"/>
      <w:r w:rsidRPr="6E496FB5" w:rsidR="6E496FB5">
        <w:rPr>
          <w:b w:val="1"/>
          <w:bCs w:val="1"/>
          <w:color w:val="00B0F0"/>
        </w:rPr>
        <w:t>organisation</w:t>
      </w:r>
      <w:proofErr w:type="spellEnd"/>
      <w:r w:rsidRPr="6E496FB5" w:rsidR="6E496FB5">
        <w:rPr>
          <w:b w:val="1"/>
          <w:bCs w:val="1"/>
          <w:color w:val="00B0F0"/>
        </w:rPr>
        <w:t xml:space="preserve"> and provide their contact details</w:t>
      </w:r>
      <w:bookmarkEnd w:id="532394211"/>
    </w:p>
    <w:p w:rsidR="6E496FB5" w:rsidP="6E496FB5" w:rsidRDefault="6E496FB5" w14:paraId="06E4262E" w14:textId="0D03B0DC">
      <w:pPr>
        <w:pStyle w:val="Normal"/>
      </w:pPr>
      <w:r>
        <w:drawing>
          <wp:inline wp14:editId="4B1EDB3A" wp14:anchorId="291FBF42">
            <wp:extent cx="5003030" cy="3095625"/>
            <wp:effectExtent l="0" t="0" r="0" b="0"/>
            <wp:docPr id="1894123946" name="" title=""/>
            <wp:cNvGraphicFramePr>
              <a:graphicFrameLocks noChangeAspect="1"/>
            </wp:cNvGraphicFramePr>
            <a:graphic>
              <a:graphicData uri="http://schemas.openxmlformats.org/drawingml/2006/picture">
                <pic:pic>
                  <pic:nvPicPr>
                    <pic:cNvPr id="0" name=""/>
                    <pic:cNvPicPr/>
                  </pic:nvPicPr>
                  <pic:blipFill>
                    <a:blip r:embed="R294e16969b004185">
                      <a:extLst>
                        <a:ext xmlns:a="http://schemas.openxmlformats.org/drawingml/2006/main" uri="{28A0092B-C50C-407E-A947-70E740481C1C}">
                          <a14:useLocalDpi val="0"/>
                        </a:ext>
                      </a:extLst>
                    </a:blip>
                    <a:stretch>
                      <a:fillRect/>
                    </a:stretch>
                  </pic:blipFill>
                  <pic:spPr>
                    <a:xfrm>
                      <a:off x="0" y="0"/>
                      <a:ext cx="5003030" cy="3095625"/>
                    </a:xfrm>
                    <a:prstGeom prst="rect">
                      <a:avLst/>
                    </a:prstGeom>
                  </pic:spPr>
                </pic:pic>
              </a:graphicData>
            </a:graphic>
          </wp:inline>
        </w:drawing>
      </w:r>
    </w:p>
    <w:p w:rsidR="6E496FB5" w:rsidP="6E496FB5" w:rsidRDefault="6E496FB5" w14:paraId="235A4CD6" w14:textId="717565F1">
      <w:pPr>
        <w:pStyle w:val="Normal"/>
      </w:pPr>
    </w:p>
    <w:p w:rsidR="6E496FB5" w:rsidP="6E496FB5" w:rsidRDefault="6E496FB5" w14:paraId="2FFFDBE4" w14:textId="730E44B3">
      <w:pPr>
        <w:pStyle w:val="Heading2"/>
        <w:rPr>
          <w:rFonts w:ascii="Calibri Light" w:hAnsi="Calibri Light" w:eastAsia="" w:cs=""/>
          <w:b w:val="1"/>
          <w:bCs w:val="1"/>
          <w:color w:val="00B0F0"/>
          <w:sz w:val="26"/>
          <w:szCs w:val="26"/>
        </w:rPr>
      </w:pPr>
      <w:bookmarkStart w:name="_Toc89232083" w:id="400743450"/>
      <w:r w:rsidRPr="6E496FB5" w:rsidR="6E496FB5">
        <w:rPr>
          <w:b w:val="1"/>
          <w:bCs w:val="1"/>
          <w:color w:val="00B0F0"/>
        </w:rPr>
        <w:t>Step 2 - Complete the eligibility section</w:t>
      </w:r>
      <w:bookmarkEnd w:id="400743450"/>
    </w:p>
    <w:p w:rsidR="6E496FB5" w:rsidP="6E496FB5" w:rsidRDefault="6E496FB5" w14:paraId="79E0316B" w14:textId="1FA4525A">
      <w:pPr>
        <w:pStyle w:val="Normal"/>
        <w:bidi w:val="0"/>
        <w:spacing w:before="0" w:beforeAutospacing="off" w:after="0" w:afterAutospacing="off" w:line="259" w:lineRule="auto"/>
        <w:ind w:left="0" w:right="0"/>
        <w:jc w:val="left"/>
      </w:pPr>
      <w:r>
        <w:drawing>
          <wp:inline wp14:editId="442FED9C" wp14:anchorId="3E5A9219">
            <wp:extent cx="5097236" cy="2973387"/>
            <wp:effectExtent l="0" t="0" r="0" b="0"/>
            <wp:docPr id="842372642" name="" title=""/>
            <wp:cNvGraphicFramePr>
              <a:graphicFrameLocks noChangeAspect="1"/>
            </wp:cNvGraphicFramePr>
            <a:graphic>
              <a:graphicData uri="http://schemas.openxmlformats.org/drawingml/2006/picture">
                <pic:pic>
                  <pic:nvPicPr>
                    <pic:cNvPr id="0" name=""/>
                    <pic:cNvPicPr/>
                  </pic:nvPicPr>
                  <pic:blipFill>
                    <a:blip r:embed="R799c77cffc66452a">
                      <a:extLst>
                        <a:ext xmlns:a="http://schemas.openxmlformats.org/drawingml/2006/main" uri="{28A0092B-C50C-407E-A947-70E740481C1C}">
                          <a14:useLocalDpi val="0"/>
                        </a:ext>
                      </a:extLst>
                    </a:blip>
                    <a:stretch>
                      <a:fillRect/>
                    </a:stretch>
                  </pic:blipFill>
                  <pic:spPr>
                    <a:xfrm>
                      <a:off x="0" y="0"/>
                      <a:ext cx="5097236" cy="2973387"/>
                    </a:xfrm>
                    <a:prstGeom prst="rect">
                      <a:avLst/>
                    </a:prstGeom>
                  </pic:spPr>
                </pic:pic>
              </a:graphicData>
            </a:graphic>
          </wp:inline>
        </w:drawing>
      </w:r>
    </w:p>
    <w:p w:rsidR="6E496FB5" w:rsidP="6E496FB5" w:rsidRDefault="6E496FB5" w14:paraId="02910009" w14:textId="6BBA7CD7">
      <w:pPr>
        <w:pStyle w:val="Normal"/>
        <w:bidi w:val="0"/>
        <w:spacing w:before="0" w:beforeAutospacing="off" w:after="0" w:afterAutospacing="off" w:line="259" w:lineRule="auto"/>
        <w:ind w:left="0" w:right="0"/>
        <w:jc w:val="left"/>
      </w:pPr>
      <w:r w:rsidR="6265DC0A">
        <w:rPr/>
        <w:t xml:space="preserve">Note in this section you must identify which Power of Voice </w:t>
      </w:r>
      <w:proofErr w:type="spellStart"/>
      <w:r w:rsidR="6265DC0A">
        <w:rPr/>
        <w:t>Programme</w:t>
      </w:r>
      <w:proofErr w:type="spellEnd"/>
      <w:r w:rsidR="6265DC0A">
        <w:rPr/>
        <w:t xml:space="preserve"> you are partnered with (AACJ or FAIR for ALL) and which consortium member you are a partner of (FAIR for ALL: </w:t>
      </w:r>
      <w:proofErr w:type="spellStart"/>
      <w:r w:rsidR="6265DC0A">
        <w:rPr/>
        <w:t>Huairo</w:t>
      </w:r>
      <w:proofErr w:type="spellEnd"/>
      <w:r w:rsidR="6265DC0A">
        <w:rPr/>
        <w:t xml:space="preserve"> Commission, SOMO, TWN Africa, Oxfam Novib </w:t>
      </w:r>
      <w:r w:rsidRPr="6265DC0A" w:rsidR="6265DC0A">
        <w:rPr>
          <w:i w:val="1"/>
          <w:iCs w:val="1"/>
        </w:rPr>
        <w:t>or</w:t>
      </w:r>
      <w:r w:rsidR="6265DC0A">
        <w:rPr/>
        <w:t xml:space="preserve"> AACJ: PACJA, Femnet, Natural Justice, AYC, Oxfam Novib).</w:t>
      </w:r>
    </w:p>
    <w:p w:rsidR="6E496FB5" w:rsidP="6E496FB5" w:rsidRDefault="6E496FB5" w14:paraId="7327B6F5" w14:textId="4131D25E">
      <w:pPr>
        <w:pStyle w:val="Normal"/>
        <w:bidi w:val="0"/>
        <w:spacing w:before="0" w:beforeAutospacing="off" w:after="0" w:afterAutospacing="off" w:line="259" w:lineRule="auto"/>
        <w:ind w:left="0" w:right="0"/>
        <w:jc w:val="left"/>
      </w:pPr>
    </w:p>
    <w:p w:rsidR="6E496FB5" w:rsidP="6E496FB5" w:rsidRDefault="6E496FB5" w14:paraId="1625D8EF" w14:textId="02C4410F">
      <w:pPr>
        <w:pStyle w:val="Normal"/>
        <w:bidi w:val="0"/>
        <w:spacing w:before="0" w:beforeAutospacing="off" w:after="0" w:afterAutospacing="off" w:line="259" w:lineRule="auto"/>
        <w:ind w:left="0" w:right="0"/>
        <w:jc w:val="left"/>
      </w:pPr>
      <w:r w:rsidR="6265DC0A">
        <w:rPr/>
        <w:t xml:space="preserve">If you are partnered with more than one </w:t>
      </w:r>
      <w:proofErr w:type="spellStart"/>
      <w:r w:rsidR="6265DC0A">
        <w:rPr/>
        <w:t>organisation</w:t>
      </w:r>
      <w:proofErr w:type="spellEnd"/>
      <w:r w:rsidR="6265DC0A">
        <w:rPr/>
        <w:t xml:space="preserve">, choose the primary </w:t>
      </w:r>
      <w:proofErr w:type="spellStart"/>
      <w:r w:rsidR="6265DC0A">
        <w:rPr/>
        <w:t>organisation</w:t>
      </w:r>
      <w:proofErr w:type="spellEnd"/>
      <w:r w:rsidR="6265DC0A">
        <w:rPr/>
        <w:t xml:space="preserve"> for the Power of Voices Programme. You will also need to provide the email of your contact at the consortium member.</w:t>
      </w:r>
    </w:p>
    <w:p w:rsidR="6E496FB5" w:rsidP="6E496FB5" w:rsidRDefault="6E496FB5" w14:paraId="11EC9BC5" w14:textId="79AF723A">
      <w:pPr>
        <w:pStyle w:val="Normal"/>
        <w:bidi w:val="0"/>
        <w:spacing w:before="0" w:beforeAutospacing="off" w:after="0" w:afterAutospacing="off" w:line="259" w:lineRule="auto"/>
        <w:ind w:left="0" w:right="0"/>
        <w:jc w:val="left"/>
      </w:pPr>
    </w:p>
    <w:p w:rsidR="6E496FB5" w:rsidP="6E496FB5" w:rsidRDefault="6E496FB5" w14:paraId="6612A3F6" w14:textId="1B1F8D03">
      <w:pPr>
        <w:pStyle w:val="Normal"/>
        <w:bidi w:val="0"/>
        <w:spacing w:before="0" w:beforeAutospacing="off" w:after="0" w:afterAutospacing="off" w:line="259" w:lineRule="auto"/>
        <w:ind w:left="0" w:right="0"/>
        <w:jc w:val="left"/>
      </w:pPr>
      <w:r w:rsidR="6E496FB5">
        <w:rPr/>
        <w:t xml:space="preserve">You will be asked to identify which country or region you plan to carry out your action in. </w:t>
      </w:r>
    </w:p>
    <w:p w:rsidR="6E496FB5" w:rsidP="6E496FB5" w:rsidRDefault="6E496FB5" w14:paraId="7FED4630" w14:textId="2DF66121">
      <w:pPr>
        <w:pStyle w:val="Normal"/>
        <w:bidi w:val="0"/>
        <w:spacing w:before="0" w:beforeAutospacing="off" w:after="0" w:afterAutospacing="off" w:line="259" w:lineRule="auto"/>
        <w:ind w:left="0" w:right="0"/>
        <w:jc w:val="left"/>
      </w:pPr>
    </w:p>
    <w:p w:rsidR="6E496FB5" w:rsidP="6E496FB5" w:rsidRDefault="6E496FB5" w14:paraId="67E5F871" w14:textId="2FB09095">
      <w:pPr>
        <w:pStyle w:val="Normal"/>
        <w:bidi w:val="0"/>
        <w:spacing w:before="0" w:beforeAutospacing="off" w:after="0" w:afterAutospacing="off" w:line="259" w:lineRule="auto"/>
        <w:ind w:left="0" w:right="0"/>
        <w:jc w:val="left"/>
      </w:pPr>
      <w:r w:rsidR="6265DC0A">
        <w:rPr/>
        <w:t>If you are applying for funds for the ‘Caravan to COP27’ please indicate so that the correct people can assess your application.</w:t>
      </w:r>
    </w:p>
    <w:p w:rsidR="6E496FB5" w:rsidP="6E496FB5" w:rsidRDefault="6E496FB5" w14:paraId="245BF6C5" w14:textId="3A3648F0">
      <w:pPr>
        <w:pStyle w:val="Normal"/>
      </w:pPr>
    </w:p>
    <w:p w:rsidR="6E496FB5" w:rsidP="6E496FB5" w:rsidRDefault="6E496FB5" w14:paraId="26F48807" w14:textId="2CF24D88">
      <w:pPr>
        <w:pStyle w:val="Heading2"/>
        <w:rPr>
          <w:rFonts w:ascii="Calibri Light" w:hAnsi="Calibri Light" w:eastAsia="" w:cs=""/>
          <w:b w:val="1"/>
          <w:bCs w:val="1"/>
          <w:color w:val="00B0F0"/>
          <w:sz w:val="26"/>
          <w:szCs w:val="26"/>
        </w:rPr>
      </w:pPr>
      <w:bookmarkStart w:name="_Toc872213059" w:id="100012356"/>
      <w:r w:rsidRPr="6E496FB5" w:rsidR="6E496FB5">
        <w:rPr>
          <w:b w:val="1"/>
          <w:bCs w:val="1"/>
          <w:color w:val="00B0F0"/>
        </w:rPr>
        <w:t>Step 3 - Complete the inclusion section</w:t>
      </w:r>
      <w:bookmarkEnd w:id="100012356"/>
    </w:p>
    <w:p w:rsidR="6E496FB5" w:rsidP="6E496FB5" w:rsidRDefault="6E496FB5" w14:paraId="05C8CEEF" w14:textId="19907AE5">
      <w:pPr>
        <w:pStyle w:val="Normal"/>
      </w:pPr>
      <w:r>
        <w:drawing>
          <wp:inline wp14:editId="2B85CBA4" wp14:anchorId="33204B52">
            <wp:extent cx="5055444" cy="3486150"/>
            <wp:effectExtent l="0" t="0" r="0" b="0"/>
            <wp:docPr id="41147129" name="" title=""/>
            <wp:cNvGraphicFramePr>
              <a:graphicFrameLocks noChangeAspect="1"/>
            </wp:cNvGraphicFramePr>
            <a:graphic>
              <a:graphicData uri="http://schemas.openxmlformats.org/drawingml/2006/picture">
                <pic:pic>
                  <pic:nvPicPr>
                    <pic:cNvPr id="0" name=""/>
                    <pic:cNvPicPr/>
                  </pic:nvPicPr>
                  <pic:blipFill>
                    <a:blip r:embed="Rb158d77e8de9454e">
                      <a:extLst>
                        <a:ext xmlns:a="http://schemas.openxmlformats.org/drawingml/2006/main" uri="{28A0092B-C50C-407E-A947-70E740481C1C}">
                          <a14:useLocalDpi val="0"/>
                        </a:ext>
                      </a:extLst>
                    </a:blip>
                    <a:stretch>
                      <a:fillRect/>
                    </a:stretch>
                  </pic:blipFill>
                  <pic:spPr>
                    <a:xfrm>
                      <a:off x="0" y="0"/>
                      <a:ext cx="5055444" cy="3486150"/>
                    </a:xfrm>
                    <a:prstGeom prst="rect">
                      <a:avLst/>
                    </a:prstGeom>
                  </pic:spPr>
                </pic:pic>
              </a:graphicData>
            </a:graphic>
          </wp:inline>
        </w:drawing>
      </w:r>
    </w:p>
    <w:p w:rsidR="6E496FB5" w:rsidP="6E496FB5" w:rsidRDefault="6E496FB5" w14:paraId="5E06986C" w14:textId="091D9EC4">
      <w:pPr>
        <w:pStyle w:val="Normal"/>
      </w:pPr>
      <w:r w:rsidR="6E496FB5">
        <w:rPr/>
        <w:t>Note: Answering no to any or all of these questions will not disqualify you, but will allow us to identify underfunded or under-represented communities in the assessment process.</w:t>
      </w:r>
    </w:p>
    <w:p w:rsidR="6E496FB5" w:rsidP="6E496FB5" w:rsidRDefault="6E496FB5" w14:paraId="4E58CC29" w14:textId="3898DE2A">
      <w:pPr>
        <w:pStyle w:val="Normal"/>
        <w:rPr>
          <w:rFonts w:ascii="Calibri" w:hAnsi="Calibri" w:eastAsia="Calibri" w:cs="Calibri"/>
          <w:b w:val="1"/>
          <w:bCs w:val="1"/>
          <w:i w:val="0"/>
          <w:iCs w:val="0"/>
          <w:color w:val="00B0F0"/>
          <w:sz w:val="36"/>
          <w:szCs w:val="36"/>
        </w:rPr>
      </w:pPr>
    </w:p>
    <w:p w:rsidR="6E496FB5" w:rsidP="6E496FB5" w:rsidRDefault="6E496FB5" w14:paraId="0C537CD3" w14:textId="39CD0A14">
      <w:pPr>
        <w:pStyle w:val="Heading2"/>
        <w:rPr>
          <w:rFonts w:ascii="Calibri Light" w:hAnsi="Calibri Light" w:eastAsia="" w:cs=""/>
          <w:b w:val="1"/>
          <w:bCs w:val="1"/>
          <w:color w:val="00B0F0"/>
          <w:sz w:val="26"/>
          <w:szCs w:val="26"/>
        </w:rPr>
      </w:pPr>
      <w:bookmarkStart w:name="_Toc1874918323" w:id="1696829982"/>
      <w:r w:rsidRPr="6E496FB5" w:rsidR="6E496FB5">
        <w:rPr>
          <w:b w:val="1"/>
          <w:bCs w:val="1"/>
          <w:color w:val="00B0F0"/>
        </w:rPr>
        <w:t xml:space="preserve">Step 4 - Provide the lead </w:t>
      </w:r>
      <w:proofErr w:type="spellStart"/>
      <w:r w:rsidRPr="6E496FB5" w:rsidR="6E496FB5">
        <w:rPr>
          <w:b w:val="1"/>
          <w:bCs w:val="1"/>
          <w:color w:val="00B0F0"/>
        </w:rPr>
        <w:t>organisation’s</w:t>
      </w:r>
      <w:proofErr w:type="spellEnd"/>
      <w:r w:rsidRPr="6E496FB5" w:rsidR="6E496FB5">
        <w:rPr>
          <w:b w:val="1"/>
          <w:bCs w:val="1"/>
          <w:color w:val="00B0F0"/>
        </w:rPr>
        <w:t xml:space="preserve"> registration details</w:t>
      </w:r>
      <w:bookmarkEnd w:id="1696829982"/>
    </w:p>
    <w:p w:rsidR="6E496FB5" w:rsidP="6E496FB5" w:rsidRDefault="6E496FB5" w14:paraId="7F81DFE2" w14:textId="2F06D690">
      <w:pPr>
        <w:pStyle w:val="Normal"/>
      </w:pPr>
      <w:r>
        <w:drawing>
          <wp:inline wp14:editId="2A7EBEF9" wp14:anchorId="20B1E107">
            <wp:extent cx="5246975" cy="3924300"/>
            <wp:effectExtent l="0" t="0" r="0" b="0"/>
            <wp:docPr id="595959265" name="" title=""/>
            <wp:cNvGraphicFramePr>
              <a:graphicFrameLocks noChangeAspect="1"/>
            </wp:cNvGraphicFramePr>
            <a:graphic>
              <a:graphicData uri="http://schemas.openxmlformats.org/drawingml/2006/picture">
                <pic:pic>
                  <pic:nvPicPr>
                    <pic:cNvPr id="0" name=""/>
                    <pic:cNvPicPr/>
                  </pic:nvPicPr>
                  <pic:blipFill>
                    <a:blip r:embed="Re2070cc969834fd7">
                      <a:extLst>
                        <a:ext xmlns:a="http://schemas.openxmlformats.org/drawingml/2006/main" uri="{28A0092B-C50C-407E-A947-70E740481C1C}">
                          <a14:useLocalDpi val="0"/>
                        </a:ext>
                      </a:extLst>
                    </a:blip>
                    <a:stretch>
                      <a:fillRect/>
                    </a:stretch>
                  </pic:blipFill>
                  <pic:spPr>
                    <a:xfrm>
                      <a:off x="0" y="0"/>
                      <a:ext cx="5246975" cy="3924300"/>
                    </a:xfrm>
                    <a:prstGeom prst="rect">
                      <a:avLst/>
                    </a:prstGeom>
                  </pic:spPr>
                </pic:pic>
              </a:graphicData>
            </a:graphic>
          </wp:inline>
        </w:drawing>
      </w:r>
    </w:p>
    <w:p w:rsidR="6E496FB5" w:rsidP="6E496FB5" w:rsidRDefault="6E496FB5" w14:paraId="671A9512" w14:textId="1C1F0414">
      <w:pPr>
        <w:pStyle w:val="Normal"/>
      </w:pPr>
      <w:r w:rsidR="6E496FB5">
        <w:rPr/>
        <w:t xml:space="preserve">Note you will be asked if the lead </w:t>
      </w:r>
      <w:proofErr w:type="spellStart"/>
      <w:r w:rsidR="6E496FB5">
        <w:rPr/>
        <w:t>organisation</w:t>
      </w:r>
      <w:proofErr w:type="spellEnd"/>
      <w:r w:rsidR="6E496FB5">
        <w:rPr/>
        <w:t xml:space="preserve"> has or has had a financing agreement with Oxfam. Partners who are already in the Oxfam Novib system will not need to undergo additional due dilligence.</w:t>
      </w:r>
    </w:p>
    <w:p w:rsidR="6E496FB5" w:rsidP="6E496FB5" w:rsidRDefault="6E496FB5" w14:paraId="698F6C57" w14:textId="32212879">
      <w:pPr>
        <w:pStyle w:val="Normal"/>
      </w:pPr>
      <w:r w:rsidR="6E496FB5">
        <w:rPr/>
        <w:t xml:space="preserve"> </w:t>
      </w:r>
      <w:r>
        <w:drawing>
          <wp:inline wp14:editId="6592F3AF" wp14:anchorId="62A51E4F">
            <wp:extent cx="5743575" cy="1208544"/>
            <wp:effectExtent l="0" t="0" r="0" b="0"/>
            <wp:docPr id="1449926491" name="" title=""/>
            <wp:cNvGraphicFramePr>
              <a:graphicFrameLocks noChangeAspect="1"/>
            </wp:cNvGraphicFramePr>
            <a:graphic>
              <a:graphicData uri="http://schemas.openxmlformats.org/drawingml/2006/picture">
                <pic:pic>
                  <pic:nvPicPr>
                    <pic:cNvPr id="0" name=""/>
                    <pic:cNvPicPr/>
                  </pic:nvPicPr>
                  <pic:blipFill>
                    <a:blip r:embed="R91edab1475294d12">
                      <a:extLst>
                        <a:ext xmlns:a="http://schemas.openxmlformats.org/drawingml/2006/main" uri="{28A0092B-C50C-407E-A947-70E740481C1C}">
                          <a14:useLocalDpi val="0"/>
                        </a:ext>
                      </a:extLst>
                    </a:blip>
                    <a:stretch>
                      <a:fillRect/>
                    </a:stretch>
                  </pic:blipFill>
                  <pic:spPr>
                    <a:xfrm>
                      <a:off x="0" y="0"/>
                      <a:ext cx="5743575" cy="1208544"/>
                    </a:xfrm>
                    <a:prstGeom prst="rect">
                      <a:avLst/>
                    </a:prstGeom>
                  </pic:spPr>
                </pic:pic>
              </a:graphicData>
            </a:graphic>
          </wp:inline>
        </w:drawing>
      </w:r>
    </w:p>
    <w:p w:rsidR="6E496FB5" w:rsidP="6E496FB5" w:rsidRDefault="6E496FB5" w14:paraId="06D136D1" w14:textId="0299193C">
      <w:pPr>
        <w:pStyle w:val="Normal"/>
      </w:pPr>
    </w:p>
    <w:p w:rsidR="6E496FB5" w:rsidP="6E496FB5" w:rsidRDefault="6E496FB5" w14:paraId="5F03C320" w14:textId="38490489">
      <w:pPr>
        <w:pStyle w:val="Heading2"/>
        <w:rPr>
          <w:rFonts w:ascii="Calibri Light" w:hAnsi="Calibri Light" w:eastAsia="" w:cs=""/>
          <w:b w:val="1"/>
          <w:bCs w:val="1"/>
          <w:color w:val="00B0F0"/>
          <w:sz w:val="26"/>
          <w:szCs w:val="26"/>
        </w:rPr>
      </w:pPr>
      <w:bookmarkStart w:name="_Toc1303861647" w:id="908787262"/>
      <w:r w:rsidRPr="6E496FB5" w:rsidR="6E496FB5">
        <w:rPr>
          <w:b w:val="1"/>
          <w:bCs w:val="1"/>
          <w:color w:val="00B0F0"/>
        </w:rPr>
        <w:t>Step 5 - Explain your campaign or influencing idea</w:t>
      </w:r>
      <w:bookmarkEnd w:id="908787262"/>
    </w:p>
    <w:p w:rsidR="6E496FB5" w:rsidP="6E496FB5" w:rsidRDefault="6E496FB5" w14:paraId="4A1B97BC" w14:textId="347AA68B">
      <w:pPr>
        <w:pStyle w:val="Normal"/>
      </w:pPr>
      <w:r>
        <w:drawing>
          <wp:inline wp14:editId="7631ED40" wp14:anchorId="088A0817">
            <wp:extent cx="5607646" cy="4229100"/>
            <wp:effectExtent l="0" t="0" r="0" b="0"/>
            <wp:docPr id="2005865609" name="" title=""/>
            <wp:cNvGraphicFramePr>
              <a:graphicFrameLocks noChangeAspect="1"/>
            </wp:cNvGraphicFramePr>
            <a:graphic>
              <a:graphicData uri="http://schemas.openxmlformats.org/drawingml/2006/picture">
                <pic:pic>
                  <pic:nvPicPr>
                    <pic:cNvPr id="0" name=""/>
                    <pic:cNvPicPr/>
                  </pic:nvPicPr>
                  <pic:blipFill>
                    <a:blip r:embed="R73a3446181c0468e">
                      <a:extLst>
                        <a:ext xmlns:a="http://schemas.openxmlformats.org/drawingml/2006/main" uri="{28A0092B-C50C-407E-A947-70E740481C1C}">
                          <a14:useLocalDpi val="0"/>
                        </a:ext>
                      </a:extLst>
                    </a:blip>
                    <a:stretch>
                      <a:fillRect/>
                    </a:stretch>
                  </pic:blipFill>
                  <pic:spPr>
                    <a:xfrm>
                      <a:off x="0" y="0"/>
                      <a:ext cx="5607646" cy="4229100"/>
                    </a:xfrm>
                    <a:prstGeom prst="rect">
                      <a:avLst/>
                    </a:prstGeom>
                  </pic:spPr>
                </pic:pic>
              </a:graphicData>
            </a:graphic>
          </wp:inline>
        </w:drawing>
      </w:r>
    </w:p>
    <w:p w:rsidR="6E496FB5" w:rsidP="6E496FB5" w:rsidRDefault="6E496FB5" w14:paraId="7ACBEB51" w14:textId="5D77ABEF">
      <w:pPr>
        <w:pStyle w:val="Normal"/>
        <w:rPr>
          <w:b w:val="1"/>
          <w:bCs w:val="1"/>
        </w:rPr>
      </w:pPr>
    </w:p>
    <w:p w:rsidR="6E496FB5" w:rsidP="6E496FB5" w:rsidRDefault="6E496FB5" w14:paraId="4A1CC777" w14:textId="231C2D87">
      <w:pPr>
        <w:pStyle w:val="Normal"/>
        <w:rPr>
          <w:b w:val="1"/>
          <w:bCs w:val="1"/>
        </w:rPr>
      </w:pPr>
      <w:r w:rsidRPr="6E496FB5" w:rsidR="6E496FB5">
        <w:rPr>
          <w:b w:val="1"/>
          <w:bCs w:val="1"/>
        </w:rPr>
        <w:t>The proposal consists of the following questions:</w:t>
      </w:r>
    </w:p>
    <w:p w:rsidR="6E496FB5" w:rsidP="6E496FB5" w:rsidRDefault="6E496FB5" w14:paraId="23DECB92" w14:textId="0594C59A">
      <w:pPr>
        <w:pStyle w:val="Normal"/>
        <w:rPr>
          <w:b w:val="1"/>
          <w:bCs w:val="1"/>
        </w:rPr>
      </w:pPr>
      <w:r w:rsidRPr="6E496FB5" w:rsidR="6E496FB5">
        <w:rPr>
          <w:b w:val="1"/>
          <w:bCs w:val="1"/>
        </w:rPr>
        <w:t xml:space="preserve">  </w:t>
      </w:r>
    </w:p>
    <w:p w:rsidR="6E496FB5" w:rsidP="6E496FB5" w:rsidRDefault="6E496FB5" w14:paraId="3CE55788" w14:textId="2D73F0BE">
      <w:pPr>
        <w:pStyle w:val="ListParagraph"/>
        <w:numPr>
          <w:ilvl w:val="0"/>
          <w:numId w:val="8"/>
        </w:numPr>
        <w:rPr>
          <w:rFonts w:ascii="Calibri" w:hAnsi="Calibri" w:eastAsia="Calibri" w:cs="Calibri" w:asciiTheme="minorAscii" w:hAnsiTheme="minorAscii" w:eastAsiaTheme="minorAscii" w:cstheme="minorAscii"/>
          <w:sz w:val="24"/>
          <w:szCs w:val="24"/>
        </w:rPr>
      </w:pPr>
      <w:r w:rsidR="6E496FB5">
        <w:rPr/>
        <w:t>What is your campaign or influencing idea</w:t>
      </w:r>
    </w:p>
    <w:p w:rsidR="6E496FB5" w:rsidP="6E496FB5" w:rsidRDefault="6E496FB5" w14:paraId="106823EA" w14:textId="10F125A7">
      <w:pPr>
        <w:pStyle w:val="ListParagraph"/>
        <w:numPr>
          <w:ilvl w:val="0"/>
          <w:numId w:val="8"/>
        </w:numPr>
        <w:rPr>
          <w:sz w:val="24"/>
          <w:szCs w:val="24"/>
        </w:rPr>
      </w:pPr>
      <w:r w:rsidR="6E496FB5">
        <w:rPr/>
        <w:t>Why is this a ‘sudden opportunity’ (i.e., why your current budget is not able to cover it and why it was not included in your annual planning)</w:t>
      </w:r>
    </w:p>
    <w:p w:rsidR="6E496FB5" w:rsidP="6E496FB5" w:rsidRDefault="6E496FB5" w14:paraId="7026C77C" w14:textId="7D0C23FE">
      <w:pPr>
        <w:pStyle w:val="ListParagraph"/>
        <w:numPr>
          <w:ilvl w:val="0"/>
          <w:numId w:val="8"/>
        </w:numPr>
        <w:rPr>
          <w:sz w:val="24"/>
          <w:szCs w:val="24"/>
        </w:rPr>
      </w:pPr>
      <w:r w:rsidR="6E496FB5">
        <w:rPr/>
        <w:t xml:space="preserve">Which other partners or </w:t>
      </w:r>
      <w:proofErr w:type="spellStart"/>
      <w:r w:rsidR="6E496FB5">
        <w:rPr/>
        <w:t>organisations</w:t>
      </w:r>
      <w:proofErr w:type="spellEnd"/>
      <w:r w:rsidR="6E496FB5">
        <w:rPr/>
        <w:t xml:space="preserve"> will you carry out the action in alliance with? Please explain:</w:t>
      </w:r>
    </w:p>
    <w:p w:rsidR="6E496FB5" w:rsidP="6E496FB5" w:rsidRDefault="6E496FB5" w14:paraId="24A661F1" w14:textId="1995C8B2">
      <w:pPr>
        <w:pStyle w:val="ListParagraph"/>
        <w:numPr>
          <w:ilvl w:val="1"/>
          <w:numId w:val="8"/>
        </w:numPr>
        <w:rPr>
          <w:sz w:val="24"/>
          <w:szCs w:val="24"/>
        </w:rPr>
      </w:pPr>
      <w:r w:rsidR="6E496FB5">
        <w:rPr/>
        <w:t>What the role of each partner will be?</w:t>
      </w:r>
    </w:p>
    <w:p w:rsidR="6E496FB5" w:rsidP="6E496FB5" w:rsidRDefault="6E496FB5" w14:paraId="2E604484" w14:textId="77396B1D">
      <w:pPr>
        <w:pStyle w:val="ListParagraph"/>
        <w:numPr>
          <w:ilvl w:val="1"/>
          <w:numId w:val="8"/>
        </w:numPr>
        <w:rPr>
          <w:sz w:val="24"/>
          <w:szCs w:val="24"/>
        </w:rPr>
      </w:pPr>
      <w:r w:rsidR="6E496FB5">
        <w:rPr/>
        <w:t>How the funding will be divided?</w:t>
      </w:r>
    </w:p>
    <w:p w:rsidR="6E496FB5" w:rsidP="6E496FB5" w:rsidRDefault="6E496FB5" w14:paraId="158B54E7" w14:textId="393DCA85">
      <w:pPr>
        <w:pStyle w:val="ListParagraph"/>
        <w:numPr>
          <w:ilvl w:val="0"/>
          <w:numId w:val="8"/>
        </w:numPr>
        <w:rPr>
          <w:sz w:val="24"/>
          <w:szCs w:val="24"/>
        </w:rPr>
      </w:pPr>
      <w:r w:rsidR="6E496FB5">
        <w:rPr/>
        <w:t xml:space="preserve">What your </w:t>
      </w:r>
      <w:proofErr w:type="spellStart"/>
      <w:r w:rsidR="6E496FB5">
        <w:rPr/>
        <w:t>organisation’s</w:t>
      </w:r>
      <w:proofErr w:type="spellEnd"/>
      <w:r w:rsidR="6E496FB5">
        <w:rPr/>
        <w:t xml:space="preserve"> annual operating budget is (in EUR)?</w:t>
      </w:r>
    </w:p>
    <w:p w:rsidR="6E496FB5" w:rsidP="6E496FB5" w:rsidRDefault="6E496FB5" w14:paraId="1F817141" w14:textId="2E3AAF19">
      <w:pPr>
        <w:pStyle w:val="ListParagraph"/>
        <w:numPr>
          <w:ilvl w:val="1"/>
          <w:numId w:val="8"/>
        </w:numPr>
        <w:rPr>
          <w:sz w:val="24"/>
          <w:szCs w:val="24"/>
        </w:rPr>
      </w:pPr>
      <w:r w:rsidR="6E496FB5">
        <w:rPr/>
        <w:t>What the budget of the opportunity is (in EUR)</w:t>
      </w:r>
    </w:p>
    <w:p w:rsidR="6E496FB5" w:rsidP="6E496FB5" w:rsidRDefault="6E496FB5" w14:paraId="7368BE32" w14:textId="44544B62">
      <w:pPr>
        <w:pStyle w:val="ListParagraph"/>
        <w:numPr>
          <w:ilvl w:val="1"/>
          <w:numId w:val="8"/>
        </w:numPr>
        <w:rPr>
          <w:sz w:val="24"/>
          <w:szCs w:val="24"/>
        </w:rPr>
      </w:pPr>
      <w:r w:rsidR="6E496FB5">
        <w:rPr/>
        <w:t>What amount you are requesting from the fund (in EUR)</w:t>
      </w:r>
    </w:p>
    <w:p w:rsidR="6E496FB5" w:rsidP="6E496FB5" w:rsidRDefault="6E496FB5" w14:paraId="45236230" w14:textId="1F9D0F74">
      <w:pPr>
        <w:pStyle w:val="ListParagraph"/>
        <w:numPr>
          <w:ilvl w:val="0"/>
          <w:numId w:val="8"/>
        </w:numPr>
        <w:rPr>
          <w:sz w:val="24"/>
          <w:szCs w:val="24"/>
        </w:rPr>
      </w:pPr>
      <w:r w:rsidR="6E496FB5">
        <w:rPr/>
        <w:t>The date you need to start your activities by</w:t>
      </w:r>
    </w:p>
    <w:p w:rsidR="6E496FB5" w:rsidP="6E496FB5" w:rsidRDefault="6E496FB5" w14:paraId="5B040866" w14:textId="3928315D">
      <w:pPr>
        <w:pStyle w:val="ListParagraph"/>
        <w:numPr>
          <w:ilvl w:val="1"/>
          <w:numId w:val="8"/>
        </w:numPr>
        <w:rPr>
          <w:sz w:val="24"/>
          <w:szCs w:val="24"/>
        </w:rPr>
      </w:pPr>
      <w:r w:rsidR="6E496FB5">
        <w:rPr/>
        <w:t>Additional details on your timeline</w:t>
      </w:r>
    </w:p>
    <w:p w:rsidR="6E496FB5" w:rsidP="6E496FB5" w:rsidRDefault="6E496FB5" w14:paraId="7443C1A6" w14:textId="14A178CC">
      <w:pPr>
        <w:pStyle w:val="ListParagraph"/>
        <w:numPr>
          <w:ilvl w:val="0"/>
          <w:numId w:val="8"/>
        </w:numPr>
        <w:rPr>
          <w:sz w:val="24"/>
          <w:szCs w:val="24"/>
        </w:rPr>
      </w:pPr>
      <w:r w:rsidR="6E496FB5">
        <w:rPr/>
        <w:t>Optional: if you have capacity strengthening needs that will help you carry out your action. You can include this in your budget for consideration.</w:t>
      </w:r>
    </w:p>
    <w:p w:rsidR="6E496FB5" w:rsidP="6E496FB5" w:rsidRDefault="6E496FB5" w14:paraId="2E838285" w14:textId="583E05C8">
      <w:pPr>
        <w:pStyle w:val="Normal"/>
      </w:pPr>
    </w:p>
    <w:p w:rsidR="6E496FB5" w:rsidP="6E496FB5" w:rsidRDefault="6E496FB5" w14:paraId="555C518B" w14:textId="4B0E6FFD">
      <w:pPr>
        <w:pStyle w:val="Heading2"/>
        <w:rPr>
          <w:rFonts w:ascii="Calibri Light" w:hAnsi="Calibri Light" w:eastAsia="" w:cs=""/>
          <w:b w:val="1"/>
          <w:bCs w:val="1"/>
          <w:color w:val="00B0F0"/>
          <w:sz w:val="26"/>
          <w:szCs w:val="26"/>
        </w:rPr>
      </w:pPr>
      <w:bookmarkStart w:name="_Toc1845243180" w:id="444175748"/>
      <w:r w:rsidRPr="6E496FB5" w:rsidR="6E496FB5">
        <w:rPr>
          <w:b w:val="1"/>
          <w:bCs w:val="1"/>
          <w:color w:val="00B0F0"/>
        </w:rPr>
        <w:t>Step 6 - Document Upload</w:t>
      </w:r>
      <w:bookmarkEnd w:id="444175748"/>
    </w:p>
    <w:p w:rsidR="6E496FB5" w:rsidP="6E496FB5" w:rsidRDefault="6E496FB5" w14:paraId="56E38B77" w14:textId="72795392">
      <w:pPr>
        <w:pStyle w:val="Normal"/>
      </w:pPr>
      <w:r>
        <w:drawing>
          <wp:inline wp14:editId="30DEBA63" wp14:anchorId="69A2B3DF">
            <wp:extent cx="5685692" cy="1847850"/>
            <wp:effectExtent l="0" t="0" r="0" b="0"/>
            <wp:docPr id="538905426" name="" title=""/>
            <wp:cNvGraphicFramePr>
              <a:graphicFrameLocks noChangeAspect="1"/>
            </wp:cNvGraphicFramePr>
            <a:graphic>
              <a:graphicData uri="http://schemas.openxmlformats.org/drawingml/2006/picture">
                <pic:pic>
                  <pic:nvPicPr>
                    <pic:cNvPr id="0" name=""/>
                    <pic:cNvPicPr/>
                  </pic:nvPicPr>
                  <pic:blipFill>
                    <a:blip r:embed="Rb8a51fca7c5e48dd">
                      <a:extLst>
                        <a:ext xmlns:a="http://schemas.openxmlformats.org/drawingml/2006/main" uri="{28A0092B-C50C-407E-A947-70E740481C1C}">
                          <a14:useLocalDpi val="0"/>
                        </a:ext>
                      </a:extLst>
                    </a:blip>
                    <a:stretch>
                      <a:fillRect/>
                    </a:stretch>
                  </pic:blipFill>
                  <pic:spPr>
                    <a:xfrm>
                      <a:off x="0" y="0"/>
                      <a:ext cx="5685692" cy="1847850"/>
                    </a:xfrm>
                    <a:prstGeom prst="rect">
                      <a:avLst/>
                    </a:prstGeom>
                  </pic:spPr>
                </pic:pic>
              </a:graphicData>
            </a:graphic>
          </wp:inline>
        </w:drawing>
      </w:r>
    </w:p>
    <w:p w:rsidR="6E496FB5" w:rsidP="6E496FB5" w:rsidRDefault="6E496FB5" w14:paraId="3217996D" w14:textId="3E0A5FCA">
      <w:pPr>
        <w:pStyle w:val="Normal"/>
      </w:pPr>
      <w:r w:rsidR="6E496FB5">
        <w:rPr/>
        <w:t>The following documents will be requested from all applicants:</w:t>
      </w:r>
    </w:p>
    <w:p w:rsidR="6E496FB5" w:rsidP="6E496FB5" w:rsidRDefault="6E496FB5" w14:paraId="667AC30E" w14:textId="615FC440">
      <w:pPr>
        <w:pStyle w:val="ListParagraph"/>
        <w:numPr>
          <w:ilvl w:val="0"/>
          <w:numId w:val="9"/>
        </w:numPr>
        <w:rPr>
          <w:rFonts w:ascii="Calibri" w:hAnsi="Calibri" w:eastAsia="Calibri" w:cs="Calibri" w:asciiTheme="minorAscii" w:hAnsiTheme="minorAscii" w:eastAsiaTheme="minorAscii" w:cstheme="minorAscii"/>
          <w:b w:val="1"/>
          <w:bCs w:val="1"/>
          <w:sz w:val="24"/>
          <w:szCs w:val="24"/>
        </w:rPr>
      </w:pPr>
      <w:r w:rsidRPr="2E8BF9A8" w:rsidR="2E8BF9A8">
        <w:rPr>
          <w:b w:val="1"/>
          <w:bCs w:val="1"/>
        </w:rPr>
        <w:t xml:space="preserve">Required: Budget (see template here: </w:t>
      </w:r>
      <w:hyperlink r:id="R6af6c3483e3c463f">
        <w:r w:rsidRPr="2E8BF9A8" w:rsidR="2E8BF9A8">
          <w:rPr>
            <w:rStyle w:val="Hyperlink"/>
            <w:b w:val="1"/>
            <w:bCs w:val="1"/>
          </w:rPr>
          <w:t>https://oxfam.box.com/shared/static/j1su1zjn33cuaixygvy9t7cqpmbid5wz.xlsx</w:t>
        </w:r>
      </w:hyperlink>
      <w:r w:rsidRPr="2E8BF9A8" w:rsidR="2E8BF9A8">
        <w:rPr>
          <w:b w:val="1"/>
          <w:bCs w:val="1"/>
        </w:rPr>
        <w:t xml:space="preserve"> )</w:t>
      </w:r>
    </w:p>
    <w:p w:rsidR="6E496FB5" w:rsidP="6E496FB5" w:rsidRDefault="6E496FB5" w14:paraId="3472085D" w14:textId="768A2FF6">
      <w:pPr>
        <w:pStyle w:val="ListParagraph"/>
        <w:numPr>
          <w:ilvl w:val="0"/>
          <w:numId w:val="9"/>
        </w:numPr>
        <w:rPr>
          <w:rFonts w:ascii="Calibri" w:hAnsi="Calibri" w:eastAsia="Calibri" w:cs="Calibri" w:asciiTheme="minorAscii" w:hAnsiTheme="minorAscii" w:eastAsiaTheme="minorAscii" w:cstheme="minorAscii"/>
          <w:b w:val="1"/>
          <w:bCs w:val="1"/>
          <w:sz w:val="24"/>
          <w:szCs w:val="24"/>
        </w:rPr>
      </w:pPr>
      <w:r w:rsidRPr="6E496FB5" w:rsidR="6E496FB5">
        <w:rPr>
          <w:b w:val="1"/>
          <w:bCs w:val="1"/>
        </w:rPr>
        <w:t>Optional: Additional documents to support your application</w:t>
      </w:r>
    </w:p>
    <w:p w:rsidR="6E496FB5" w:rsidP="6E496FB5" w:rsidRDefault="6E496FB5" w14:paraId="428FEA47" w14:textId="7A9749BE">
      <w:pPr>
        <w:pStyle w:val="Normal"/>
        <w:rPr>
          <w:b w:val="1"/>
          <w:bCs w:val="1"/>
        </w:rPr>
      </w:pPr>
    </w:p>
    <w:p w:rsidR="6E496FB5" w:rsidP="6E496FB5" w:rsidRDefault="6E496FB5" w14:paraId="6843893D" w14:textId="439AD2F3">
      <w:pPr>
        <w:pStyle w:val="Normal"/>
      </w:pPr>
      <w:r>
        <w:drawing>
          <wp:inline wp14:editId="7A9B29A5" wp14:anchorId="460361B6">
            <wp:extent cx="5570200" cy="4305300"/>
            <wp:effectExtent l="0" t="0" r="0" b="0"/>
            <wp:docPr id="2034109573" name="" title=""/>
            <wp:cNvGraphicFramePr>
              <a:graphicFrameLocks noChangeAspect="1"/>
            </wp:cNvGraphicFramePr>
            <a:graphic>
              <a:graphicData uri="http://schemas.openxmlformats.org/drawingml/2006/picture">
                <pic:pic>
                  <pic:nvPicPr>
                    <pic:cNvPr id="0" name=""/>
                    <pic:cNvPicPr/>
                  </pic:nvPicPr>
                  <pic:blipFill>
                    <a:blip r:embed="R6d0f06aac5ad42c5">
                      <a:extLst>
                        <a:ext xmlns:a="http://schemas.openxmlformats.org/drawingml/2006/main" uri="{28A0092B-C50C-407E-A947-70E740481C1C}">
                          <a14:useLocalDpi val="0"/>
                        </a:ext>
                      </a:extLst>
                    </a:blip>
                    <a:stretch>
                      <a:fillRect/>
                    </a:stretch>
                  </pic:blipFill>
                  <pic:spPr>
                    <a:xfrm>
                      <a:off x="0" y="0"/>
                      <a:ext cx="5570200" cy="4305300"/>
                    </a:xfrm>
                    <a:prstGeom prst="rect">
                      <a:avLst/>
                    </a:prstGeom>
                  </pic:spPr>
                </pic:pic>
              </a:graphicData>
            </a:graphic>
          </wp:inline>
        </w:drawing>
      </w:r>
    </w:p>
    <w:p w:rsidR="6E496FB5" w:rsidP="6E496FB5" w:rsidRDefault="6E496FB5" w14:paraId="63F20FFD" w14:textId="675AF844">
      <w:pPr>
        <w:pStyle w:val="Normal"/>
        <w:rPr>
          <w:b w:val="1"/>
          <w:bCs w:val="1"/>
        </w:rPr>
      </w:pPr>
      <w:r w:rsidR="6E496FB5">
        <w:rPr>
          <w:b w:val="0"/>
          <w:bCs w:val="0"/>
        </w:rPr>
        <w:t xml:space="preserve">Additional documents will be requested from those who do not have a financing agreement with Oxfam. You can upload a copy, provide a link if the information is already available online, or provide an explanation if a document is not available. </w:t>
      </w:r>
    </w:p>
    <w:p w:rsidR="6E496FB5" w:rsidP="6E496FB5" w:rsidRDefault="6E496FB5" w14:paraId="284DBDAA" w14:textId="483F54DB">
      <w:pPr>
        <w:pStyle w:val="Normal"/>
        <w:rPr>
          <w:b w:val="0"/>
          <w:bCs w:val="0"/>
        </w:rPr>
      </w:pPr>
    </w:p>
    <w:p w:rsidR="6E496FB5" w:rsidP="6E496FB5" w:rsidRDefault="6E496FB5" w14:paraId="4AC3F80B" w14:textId="7DC55490">
      <w:pPr>
        <w:pStyle w:val="Normal"/>
        <w:rPr>
          <w:b w:val="1"/>
          <w:bCs w:val="1"/>
        </w:rPr>
      </w:pPr>
      <w:r w:rsidR="6E496FB5">
        <w:rPr>
          <w:b w:val="0"/>
          <w:bCs w:val="0"/>
        </w:rPr>
        <w:t>Note: the more information you can provide at this stage, the faster the due diligence check can be conducted, but if you do not have all the documents, you are still encouraged to apply.</w:t>
      </w:r>
    </w:p>
    <w:p w:rsidR="6E496FB5" w:rsidP="6E496FB5" w:rsidRDefault="6E496FB5" w14:paraId="7BF139C8" w14:textId="601BAAE8">
      <w:pPr>
        <w:pStyle w:val="ListParagraph"/>
        <w:numPr>
          <w:ilvl w:val="0"/>
          <w:numId w:val="10"/>
        </w:numPr>
        <w:rPr>
          <w:rFonts w:ascii="Calibri" w:hAnsi="Calibri" w:eastAsia="Calibri" w:cs="Calibri" w:asciiTheme="minorAscii" w:hAnsiTheme="minorAscii" w:eastAsiaTheme="minorAscii" w:cstheme="minorAscii"/>
          <w:b w:val="0"/>
          <w:bCs w:val="0"/>
          <w:sz w:val="24"/>
          <w:szCs w:val="24"/>
        </w:rPr>
      </w:pPr>
      <w:r w:rsidR="6E496FB5">
        <w:rPr>
          <w:b w:val="0"/>
          <w:bCs w:val="0"/>
        </w:rPr>
        <w:t>Legal Registration</w:t>
      </w:r>
    </w:p>
    <w:p w:rsidR="6E496FB5" w:rsidP="6E496FB5" w:rsidRDefault="6E496FB5" w14:paraId="721F68E6" w14:textId="3DD55B85">
      <w:pPr>
        <w:pStyle w:val="ListParagraph"/>
        <w:numPr>
          <w:ilvl w:val="0"/>
          <w:numId w:val="10"/>
        </w:numPr>
        <w:rPr>
          <w:b w:val="0"/>
          <w:bCs w:val="0"/>
          <w:sz w:val="24"/>
          <w:szCs w:val="24"/>
        </w:rPr>
      </w:pPr>
      <w:r w:rsidR="6E496FB5">
        <w:rPr>
          <w:b w:val="0"/>
          <w:bCs w:val="0"/>
        </w:rPr>
        <w:t>Audited accounts (from the last three years)</w:t>
      </w:r>
    </w:p>
    <w:p w:rsidR="6E496FB5" w:rsidP="6E496FB5" w:rsidRDefault="6E496FB5" w14:paraId="0CEF147C" w14:textId="1AB4085A">
      <w:pPr>
        <w:pStyle w:val="ListParagraph"/>
        <w:numPr>
          <w:ilvl w:val="0"/>
          <w:numId w:val="10"/>
        </w:numPr>
        <w:rPr>
          <w:b w:val="0"/>
          <w:bCs w:val="0"/>
          <w:sz w:val="24"/>
          <w:szCs w:val="24"/>
        </w:rPr>
      </w:pPr>
      <w:r w:rsidR="6E496FB5">
        <w:rPr>
          <w:b w:val="0"/>
          <w:bCs w:val="0"/>
        </w:rPr>
        <w:t>Bank account registration</w:t>
      </w:r>
    </w:p>
    <w:p w:rsidR="6E496FB5" w:rsidP="6E496FB5" w:rsidRDefault="6E496FB5" w14:paraId="2BB0FCA8" w14:textId="43015D1B">
      <w:pPr>
        <w:pStyle w:val="ListParagraph"/>
        <w:numPr>
          <w:ilvl w:val="0"/>
          <w:numId w:val="10"/>
        </w:numPr>
        <w:rPr>
          <w:b w:val="0"/>
          <w:bCs w:val="0"/>
          <w:sz w:val="24"/>
          <w:szCs w:val="24"/>
        </w:rPr>
      </w:pPr>
      <w:r w:rsidR="6E496FB5">
        <w:rPr>
          <w:b w:val="0"/>
          <w:bCs w:val="0"/>
        </w:rPr>
        <w:t>Gender Justice and Social Inclusion policy or statement</w:t>
      </w:r>
    </w:p>
    <w:p w:rsidR="6E496FB5" w:rsidP="6E496FB5" w:rsidRDefault="6E496FB5" w14:paraId="72F8BA58" w14:textId="56E3E1AD">
      <w:pPr>
        <w:pStyle w:val="ListParagraph"/>
        <w:numPr>
          <w:ilvl w:val="0"/>
          <w:numId w:val="10"/>
        </w:numPr>
        <w:rPr>
          <w:b w:val="0"/>
          <w:bCs w:val="0"/>
          <w:sz w:val="24"/>
          <w:szCs w:val="24"/>
        </w:rPr>
      </w:pPr>
      <w:r w:rsidR="6E496FB5">
        <w:rPr>
          <w:b w:val="0"/>
          <w:bCs w:val="0"/>
        </w:rPr>
        <w:t>Safeguarding Policy, statement or complaints mechanism</w:t>
      </w:r>
    </w:p>
    <w:p w:rsidR="6E496FB5" w:rsidP="6E496FB5" w:rsidRDefault="6E496FB5" w14:paraId="73396EB2" w14:textId="193AF6A0">
      <w:pPr>
        <w:pStyle w:val="ListParagraph"/>
        <w:numPr>
          <w:ilvl w:val="0"/>
          <w:numId w:val="10"/>
        </w:numPr>
        <w:rPr>
          <w:b w:val="0"/>
          <w:bCs w:val="0"/>
          <w:sz w:val="24"/>
          <w:szCs w:val="24"/>
        </w:rPr>
      </w:pPr>
      <w:r w:rsidR="6E496FB5">
        <w:rPr>
          <w:b w:val="0"/>
          <w:bCs w:val="0"/>
        </w:rPr>
        <w:t>Policy statement regarding fraud and/or corruption</w:t>
      </w:r>
    </w:p>
    <w:p w:rsidR="6E496FB5" w:rsidP="6E496FB5" w:rsidRDefault="6E496FB5" w14:paraId="37BF9A14" w14:textId="3DEBBD88">
      <w:pPr>
        <w:pStyle w:val="Normal"/>
        <w:ind w:left="0"/>
        <w:rPr>
          <w:b w:val="0"/>
          <w:bCs w:val="0"/>
        </w:rPr>
      </w:pPr>
    </w:p>
    <w:p w:rsidR="6E496FB5" w:rsidP="6E496FB5" w:rsidRDefault="6E496FB5" w14:paraId="7491EB39" w14:textId="26EBDBF8">
      <w:pPr>
        <w:pStyle w:val="Heading2"/>
        <w:bidi w:val="0"/>
        <w:rPr>
          <w:rFonts w:ascii="Calibri Light" w:hAnsi="Calibri Light" w:eastAsia="" w:cs=""/>
          <w:b w:val="1"/>
          <w:bCs w:val="1"/>
          <w:color w:val="00B0F0"/>
          <w:sz w:val="26"/>
          <w:szCs w:val="26"/>
        </w:rPr>
      </w:pPr>
      <w:bookmarkStart w:name="_Toc2101671701" w:id="1997944096"/>
      <w:r w:rsidRPr="6558624C" w:rsidR="6558624C">
        <w:rPr>
          <w:b w:val="1"/>
          <w:bCs w:val="1"/>
          <w:color w:val="00B0F0"/>
        </w:rPr>
        <w:t>Step 7 - Submit</w:t>
      </w:r>
      <w:bookmarkEnd w:id="1997944096"/>
    </w:p>
    <w:p w:rsidR="6E496FB5" w:rsidP="6E496FB5" w:rsidRDefault="6E496FB5" w14:paraId="78FC016E" w14:textId="74D379E4">
      <w:pPr>
        <w:pStyle w:val="Normal"/>
      </w:pPr>
      <w:r>
        <w:drawing>
          <wp:inline wp14:editId="6558624C" wp14:anchorId="43528283">
            <wp:extent cx="4572000" cy="1247775"/>
            <wp:effectExtent l="0" t="0" r="0" b="0"/>
            <wp:docPr id="1249136508" name="" title=""/>
            <wp:cNvGraphicFramePr>
              <a:graphicFrameLocks noChangeAspect="1"/>
            </wp:cNvGraphicFramePr>
            <a:graphic>
              <a:graphicData uri="http://schemas.openxmlformats.org/drawingml/2006/picture">
                <pic:pic>
                  <pic:nvPicPr>
                    <pic:cNvPr id="0" name=""/>
                    <pic:cNvPicPr/>
                  </pic:nvPicPr>
                  <pic:blipFill>
                    <a:blip r:embed="R7775fa6a13b2426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4572000" cy="1247775"/>
                    </a:xfrm>
                    <a:prstGeom xmlns:a="http://schemas.openxmlformats.org/drawingml/2006/main" prst="rect">
                      <a:avLst/>
                    </a:prstGeom>
                  </pic:spPr>
                </pic:pic>
              </a:graphicData>
            </a:graphic>
          </wp:inline>
        </w:drawing>
      </w:r>
    </w:p>
    <w:p w:rsidR="6E496FB5" w:rsidP="6E496FB5" w:rsidRDefault="6E496FB5" w14:paraId="1FFAACD6" w14:textId="7B510951">
      <w:pPr>
        <w:pStyle w:val="Normal"/>
      </w:pPr>
      <w:r w:rsidR="6E496FB5">
        <w:rPr/>
        <w:t xml:space="preserve">Once you have provided all the requested information, you can submit your application. </w:t>
      </w:r>
    </w:p>
    <w:p w:rsidR="6E496FB5" w:rsidP="6E496FB5" w:rsidRDefault="6E496FB5" w14:paraId="11A95D7B" w14:textId="7649EB3A">
      <w:pPr>
        <w:pStyle w:val="Normal"/>
      </w:pPr>
    </w:p>
    <w:p w:rsidR="6E496FB5" w:rsidP="6E496FB5" w:rsidRDefault="6E496FB5" w14:paraId="7F286BC5" w14:textId="4C331650">
      <w:pPr>
        <w:pStyle w:val="Normal"/>
      </w:pPr>
      <w:r w:rsidR="6E496FB5">
        <w:rPr/>
        <w:t>Note that there is an option to save your application as you are working on it.</w:t>
      </w:r>
    </w:p>
    <w:p w:rsidR="6E496FB5" w:rsidP="6E496FB5" w:rsidRDefault="6E496FB5" w14:paraId="53678F41" w14:textId="376C538B">
      <w:pPr>
        <w:pStyle w:val="Normal"/>
      </w:pPr>
    </w:p>
    <w:p w:rsidR="6E496FB5" w:rsidP="6E496FB5" w:rsidRDefault="6E496FB5" w14:paraId="50A533DD" w14:textId="0FB95F5F">
      <w:pPr>
        <w:pStyle w:val="Heading2"/>
        <w:bidi w:val="0"/>
        <w:rPr>
          <w:rFonts w:ascii="Calibri Light" w:hAnsi="Calibri Light" w:eastAsia="" w:cs=""/>
          <w:b w:val="1"/>
          <w:bCs w:val="1"/>
          <w:color w:val="00B0F0"/>
          <w:sz w:val="26"/>
          <w:szCs w:val="26"/>
        </w:rPr>
      </w:pPr>
      <w:bookmarkStart w:name="_Toc1379070385" w:id="944938811"/>
      <w:r w:rsidRPr="6E496FB5" w:rsidR="6E496FB5">
        <w:rPr>
          <w:b w:val="1"/>
          <w:bCs w:val="1"/>
          <w:color w:val="00B0F0"/>
        </w:rPr>
        <w:t>Step 8 - Respond to any additional requests for information</w:t>
      </w:r>
      <w:bookmarkEnd w:id="944938811"/>
    </w:p>
    <w:p w:rsidR="6E496FB5" w:rsidP="6E496FB5" w:rsidRDefault="6E496FB5" w14:paraId="39CBABD0" w14:textId="10844198">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B0F0"/>
          <w:sz w:val="36"/>
          <w:szCs w:val="36"/>
        </w:rPr>
      </w:pPr>
    </w:p>
    <w:p w:rsidR="6E496FB5" w:rsidP="6E496FB5" w:rsidRDefault="6E496FB5" w14:paraId="08BCEA54" w14:textId="29F62577">
      <w:pPr>
        <w:pStyle w:val="Normal"/>
        <w:bidi w:val="0"/>
        <w:spacing w:before="0" w:beforeAutospacing="off" w:after="0" w:afterAutospacing="off" w:line="259" w:lineRule="auto"/>
        <w:ind w:left="0" w:right="0"/>
        <w:jc w:val="left"/>
        <w:rPr>
          <w:rFonts w:ascii="Calibri" w:hAnsi="Calibri" w:eastAsia="Calibri" w:cs="Calibri"/>
          <w:b w:val="1"/>
          <w:bCs w:val="1"/>
          <w:i w:val="0"/>
          <w:iCs w:val="0"/>
          <w:color w:val="00B0F0"/>
          <w:sz w:val="36"/>
          <w:szCs w:val="36"/>
        </w:rPr>
      </w:pPr>
      <w:r w:rsidRPr="6E496FB5" w:rsidR="6E496FB5">
        <w:rPr>
          <w:rFonts w:ascii="Calibri" w:hAnsi="Calibri" w:eastAsia="Calibri" w:cs="Calibri"/>
          <w:b w:val="0"/>
          <w:bCs w:val="0"/>
          <w:i w:val="0"/>
          <w:iCs w:val="0"/>
          <w:color w:val="auto"/>
          <w:sz w:val="24"/>
          <w:szCs w:val="24"/>
        </w:rPr>
        <w:t>During the review process, there may be additional requests for information. Please respond to these are quickly as you can to keep the process of review going.</w:t>
      </w:r>
    </w:p>
    <w:p w:rsidR="6E496FB5" w:rsidP="6E496FB5" w:rsidRDefault="6E496FB5" w14:paraId="65285EC2" w14:textId="0DE8A01B">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auto"/>
          <w:sz w:val="24"/>
          <w:szCs w:val="24"/>
        </w:rPr>
      </w:pPr>
    </w:p>
    <w:p w:rsidR="6E496FB5" w:rsidP="6E496FB5" w:rsidRDefault="6E496FB5" w14:paraId="3FC8CE3E" w14:textId="2678C3D0">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auto"/>
          <w:sz w:val="24"/>
          <w:szCs w:val="24"/>
        </w:rPr>
      </w:pPr>
      <w:r w:rsidRPr="6E496FB5" w:rsidR="6E496FB5">
        <w:rPr>
          <w:rFonts w:ascii="Calibri" w:hAnsi="Calibri" w:eastAsia="Calibri" w:cs="Calibri"/>
          <w:b w:val="0"/>
          <w:bCs w:val="0"/>
          <w:i w:val="0"/>
          <w:iCs w:val="0"/>
          <w:color w:val="auto"/>
          <w:sz w:val="24"/>
          <w:szCs w:val="24"/>
        </w:rPr>
        <w:t xml:space="preserve">We will aim to make decisions within 4 – 6 weeks. </w:t>
      </w:r>
    </w:p>
    <w:p w:rsidR="6E496FB5" w:rsidP="6E496FB5" w:rsidRDefault="6E496FB5" w14:paraId="0FC426F4" w14:textId="4072985D">
      <w:pPr>
        <w:pStyle w:val="Normal"/>
        <w:bidi w:val="0"/>
        <w:spacing w:before="0" w:beforeAutospacing="off" w:after="0" w:afterAutospacing="off" w:line="259" w:lineRule="auto"/>
        <w:ind w:left="0" w:right="0"/>
        <w:jc w:val="left"/>
        <w:rPr>
          <w:rFonts w:ascii="Calibri" w:hAnsi="Calibri" w:eastAsia="Calibri" w:cs="Calibri"/>
          <w:b w:val="0"/>
          <w:bCs w:val="0"/>
          <w:i w:val="0"/>
          <w:iCs w:val="0"/>
          <w:color w:val="auto"/>
          <w:sz w:val="24"/>
          <w:szCs w:val="24"/>
        </w:rPr>
      </w:pPr>
    </w:p>
    <w:p w:rsidR="6E496FB5" w:rsidP="6E496FB5" w:rsidRDefault="6E496FB5" w14:paraId="041D24CA" w14:textId="45C5F704">
      <w:pPr>
        <w:pStyle w:val="Heading1"/>
        <w:bidi w:val="0"/>
        <w:rPr>
          <w:rFonts w:ascii="Calibri Light" w:hAnsi="Calibri Light" w:eastAsia="" w:cs=""/>
          <w:b w:val="1"/>
          <w:bCs w:val="1"/>
          <w:color w:val="00B0F0"/>
          <w:sz w:val="32"/>
          <w:szCs w:val="32"/>
        </w:rPr>
      </w:pPr>
      <w:bookmarkStart w:name="_Toc266599115" w:id="1914160011"/>
      <w:r w:rsidRPr="6E496FB5" w:rsidR="6E496FB5">
        <w:rPr>
          <w:rFonts w:ascii="Calibri Light" w:hAnsi="Calibri Light" w:eastAsia="" w:cs=""/>
          <w:b w:val="1"/>
          <w:bCs w:val="1"/>
          <w:color w:val="00B0F0"/>
          <w:sz w:val="32"/>
          <w:szCs w:val="32"/>
        </w:rPr>
        <w:t>Frequently Asked Questions</w:t>
      </w:r>
      <w:bookmarkEnd w:id="1914160011"/>
    </w:p>
    <w:p w:rsidR="6E496FB5" w:rsidP="6E496FB5" w:rsidRDefault="6E496FB5" w14:paraId="0586C66B" w14:textId="2B869FF9">
      <w:pPr>
        <w:pStyle w:val="Normal"/>
        <w:bidi w:val="0"/>
      </w:pPr>
    </w:p>
    <w:p w:rsidR="6E496FB5" w:rsidP="6E496FB5" w:rsidRDefault="6E496FB5" w14:paraId="7216112C" w14:textId="408FE444">
      <w:pPr>
        <w:pStyle w:val="Normal"/>
        <w:rPr>
          <w:b w:val="1"/>
          <w:bCs w:val="1"/>
        </w:rPr>
      </w:pPr>
      <w:r w:rsidRPr="70F27D76" w:rsidR="70F27D76">
        <w:rPr>
          <w:b w:val="1"/>
          <w:bCs w:val="1"/>
        </w:rPr>
        <w:t>This section will be updated as questions are asked.</w:t>
      </w:r>
    </w:p>
    <w:p w:rsidR="70F27D76" w:rsidP="70F27D76" w:rsidRDefault="70F27D76" w14:paraId="593EB61A" w14:textId="20A12756">
      <w:pPr>
        <w:pStyle w:val="Normal"/>
        <w:rPr>
          <w:b w:val="1"/>
          <w:bCs w:val="1"/>
        </w:rPr>
      </w:pPr>
    </w:p>
    <w:p w:rsidR="70F27D76" w:rsidP="70F27D76" w:rsidRDefault="70F27D76" w14:paraId="175995FC" w14:textId="3D5175B1">
      <w:pPr>
        <w:pStyle w:val="ListParagraph"/>
        <w:numPr>
          <w:ilvl w:val="0"/>
          <w:numId w:val="11"/>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Can Oxfam Country Offices apply for funding?</w:t>
      </w:r>
    </w:p>
    <w:p w:rsidR="70F27D76" w:rsidP="70F27D76" w:rsidRDefault="70F27D76" w14:paraId="7A42E4CB" w14:textId="398DF558">
      <w:pPr>
        <w:pStyle w:val="Normal"/>
        <w:rPr>
          <w:b w:val="0"/>
          <w:bCs w:val="0"/>
        </w:rPr>
      </w:pPr>
    </w:p>
    <w:p w:rsidR="70F27D76" w:rsidP="70F27D76" w:rsidRDefault="70F27D76" w14:paraId="54EE85D2" w14:textId="3A5C99CF">
      <w:pPr>
        <w:pStyle w:val="Normal"/>
        <w:rPr>
          <w:b w:val="0"/>
          <w:bCs w:val="0"/>
        </w:rPr>
      </w:pPr>
      <w:r w:rsidR="70F27D76">
        <w:rPr>
          <w:b w:val="0"/>
          <w:bCs w:val="0"/>
        </w:rPr>
        <w:t>In</w:t>
      </w:r>
      <w:r w:rsidR="70F27D76">
        <w:rPr>
          <w:b w:val="0"/>
          <w:bCs w:val="0"/>
        </w:rPr>
        <w:t xml:space="preserve"> theory—yes—however the intention is to enable partners to apply for funding where possible. Applications must be made by two or more </w:t>
      </w:r>
      <w:proofErr w:type="spellStart"/>
      <w:r w:rsidR="70F27D76">
        <w:rPr>
          <w:b w:val="0"/>
          <w:bCs w:val="0"/>
        </w:rPr>
        <w:t>organisations</w:t>
      </w:r>
      <w:proofErr w:type="spellEnd"/>
      <w:r w:rsidR="70F27D76">
        <w:rPr>
          <w:b w:val="0"/>
          <w:bCs w:val="0"/>
        </w:rPr>
        <w:t xml:space="preserve"> in alliance.</w:t>
      </w:r>
    </w:p>
    <w:p w:rsidR="70F27D76" w:rsidP="70F27D76" w:rsidRDefault="70F27D76" w14:paraId="7E6D3976" w14:textId="4D5F0C72">
      <w:pPr>
        <w:pStyle w:val="Normal"/>
        <w:rPr>
          <w:b w:val="1"/>
          <w:bCs w:val="1"/>
        </w:rPr>
      </w:pPr>
    </w:p>
    <w:p w:rsidR="70F27D76" w:rsidP="70F27D76" w:rsidRDefault="70F27D76" w14:paraId="09050E51" w14:textId="23462BA2">
      <w:pPr>
        <w:pStyle w:val="ListParagraph"/>
        <w:numPr>
          <w:ilvl w:val="0"/>
          <w:numId w:val="6"/>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Can we fund partners that we do not have an official financing agreement with?</w:t>
      </w:r>
    </w:p>
    <w:p w:rsidR="70F27D76" w:rsidP="70F27D76" w:rsidRDefault="70F27D76" w14:paraId="52658E51" w14:textId="59628338">
      <w:pPr>
        <w:pStyle w:val="Normal"/>
        <w:rPr>
          <w:b w:val="0"/>
          <w:bCs w:val="0"/>
        </w:rPr>
      </w:pPr>
    </w:p>
    <w:p w:rsidR="70F27D76" w:rsidP="70F27D76" w:rsidRDefault="70F27D76" w14:paraId="531C3EA2" w14:textId="46C06911">
      <w:pPr>
        <w:pStyle w:val="Normal"/>
        <w:rPr>
          <w:b w:val="0"/>
          <w:bCs w:val="0"/>
        </w:rPr>
      </w:pPr>
      <w:r w:rsidR="70F27D76">
        <w:rPr>
          <w:b w:val="0"/>
          <w:bCs w:val="0"/>
        </w:rPr>
        <w:t>Yes</w:t>
      </w:r>
      <w:r w:rsidR="70F27D76">
        <w:rPr>
          <w:b w:val="0"/>
          <w:bCs w:val="0"/>
        </w:rPr>
        <w:t xml:space="preserve">, but one organisation should take the lead in applying. </w:t>
      </w:r>
    </w:p>
    <w:p w:rsidR="70F27D76" w:rsidP="70F27D76" w:rsidRDefault="70F27D76" w14:paraId="3055E9EF" w14:textId="4A652B4C">
      <w:pPr>
        <w:pStyle w:val="Normal"/>
        <w:rPr>
          <w:b w:val="0"/>
          <w:bCs w:val="0"/>
        </w:rPr>
      </w:pPr>
    </w:p>
    <w:p w:rsidR="70F27D76" w:rsidP="70F27D76" w:rsidRDefault="70F27D76" w14:paraId="3FB74B8A" w14:textId="73352760">
      <w:pPr>
        <w:pStyle w:val="ListParagraph"/>
        <w:numPr>
          <w:ilvl w:val="0"/>
          <w:numId w:val="6"/>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Can non-AACJ or FAIR for ALL countries apply for funds?</w:t>
      </w:r>
    </w:p>
    <w:p w:rsidR="70F27D76" w:rsidP="70F27D76" w:rsidRDefault="70F27D76" w14:paraId="23DE7770" w14:textId="6C62DFD8">
      <w:pPr>
        <w:pStyle w:val="Normal"/>
        <w:rPr>
          <w:b w:val="1"/>
          <w:bCs w:val="1"/>
        </w:rPr>
      </w:pPr>
    </w:p>
    <w:p w:rsidR="70F27D76" w:rsidP="70F27D76" w:rsidRDefault="70F27D76" w14:paraId="7EA1ECDF" w14:textId="7BBFD4DF">
      <w:pPr>
        <w:pStyle w:val="Normal"/>
        <w:rPr>
          <w:b w:val="0"/>
          <w:bCs w:val="0"/>
        </w:rPr>
      </w:pPr>
      <w:r w:rsidR="70F27D76">
        <w:rPr>
          <w:b w:val="0"/>
          <w:bCs w:val="0"/>
        </w:rPr>
        <w:t>The</w:t>
      </w:r>
      <w:r w:rsidR="70F27D76">
        <w:rPr>
          <w:b w:val="0"/>
          <w:bCs w:val="0"/>
        </w:rPr>
        <w:t xml:space="preserve"> first priority will be for countries who are connected to the Power of Voice </w:t>
      </w:r>
      <w:proofErr w:type="spellStart"/>
      <w:r w:rsidR="70F27D76">
        <w:rPr>
          <w:b w:val="0"/>
          <w:bCs w:val="0"/>
        </w:rPr>
        <w:t>Programme</w:t>
      </w:r>
      <w:proofErr w:type="spellEnd"/>
      <w:r w:rsidR="70F27D76">
        <w:rPr>
          <w:b w:val="0"/>
          <w:bCs w:val="0"/>
        </w:rPr>
        <w:t xml:space="preserve"> country locations, however, if there is a clear link to the </w:t>
      </w:r>
      <w:proofErr w:type="spellStart"/>
      <w:r w:rsidR="70F27D76">
        <w:rPr>
          <w:b w:val="0"/>
          <w:bCs w:val="0"/>
        </w:rPr>
        <w:t>programme</w:t>
      </w:r>
      <w:proofErr w:type="spellEnd"/>
      <w:r w:rsidR="70F27D76">
        <w:rPr>
          <w:b w:val="0"/>
          <w:bCs w:val="0"/>
        </w:rPr>
        <w:t xml:space="preserve"> objectives (for example, </w:t>
      </w:r>
      <w:proofErr w:type="gramStart"/>
      <w:r w:rsidR="70F27D76">
        <w:rPr>
          <w:b w:val="0"/>
          <w:bCs w:val="0"/>
        </w:rPr>
        <w:t>an</w:t>
      </w:r>
      <w:proofErr w:type="gramEnd"/>
      <w:r w:rsidR="70F27D76">
        <w:rPr>
          <w:b w:val="0"/>
          <w:bCs w:val="0"/>
        </w:rPr>
        <w:t xml:space="preserve"> non-AACJ African country wanting to apply for funds for the ‘Caravan to COP27’), then your application will still be considered.</w:t>
      </w:r>
    </w:p>
    <w:p w:rsidR="70F27D76" w:rsidP="70F27D76" w:rsidRDefault="70F27D76" w14:paraId="442F261D" w14:textId="34E45D7B">
      <w:pPr>
        <w:pStyle w:val="Normal"/>
        <w:rPr>
          <w:b w:val="1"/>
          <w:bCs w:val="1"/>
        </w:rPr>
      </w:pPr>
    </w:p>
    <w:p w:rsidR="70F27D76" w:rsidP="70F27D76" w:rsidRDefault="70F27D76" w14:paraId="2B721973" w14:textId="386116CE">
      <w:pPr>
        <w:pStyle w:val="ListParagraph"/>
        <w:numPr>
          <w:ilvl w:val="0"/>
          <w:numId w:val="6"/>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If I am applying from a non-AACJ active country for the ‘Caravan to COP27’, am I still allowed to apply?</w:t>
      </w:r>
    </w:p>
    <w:p w:rsidR="70F27D76" w:rsidP="70F27D76" w:rsidRDefault="70F27D76" w14:paraId="08BA990D" w14:textId="58A00DB6">
      <w:pPr>
        <w:pStyle w:val="Normal"/>
        <w:rPr>
          <w:b w:val="1"/>
          <w:bCs w:val="1"/>
        </w:rPr>
      </w:pPr>
    </w:p>
    <w:p w:rsidR="70F27D76" w:rsidP="70F27D76" w:rsidRDefault="70F27D76" w14:paraId="0664714A" w14:textId="547EEA4D">
      <w:pPr>
        <w:pStyle w:val="Normal"/>
        <w:rPr>
          <w:b w:val="1"/>
          <w:bCs w:val="1"/>
        </w:rPr>
      </w:pPr>
      <w:r w:rsidR="70F27D76">
        <w:rPr>
          <w:b w:val="0"/>
          <w:bCs w:val="0"/>
        </w:rPr>
        <w:t>Yes</w:t>
      </w:r>
      <w:r w:rsidR="70F27D76">
        <w:rPr>
          <w:b w:val="0"/>
          <w:bCs w:val="0"/>
        </w:rPr>
        <w:t xml:space="preserve">, Caravan to Cop27 applications should indicate in the form that they are applying under the Power </w:t>
      </w:r>
      <w:proofErr w:type="gramStart"/>
      <w:r w:rsidR="70F27D76">
        <w:rPr>
          <w:b w:val="0"/>
          <w:bCs w:val="0"/>
        </w:rPr>
        <w:t>Of</w:t>
      </w:r>
      <w:proofErr w:type="gramEnd"/>
      <w:r w:rsidR="70F27D76">
        <w:rPr>
          <w:b w:val="0"/>
          <w:bCs w:val="0"/>
        </w:rPr>
        <w:t xml:space="preserve"> Voices </w:t>
      </w:r>
      <w:proofErr w:type="spellStart"/>
      <w:r w:rsidR="70F27D76">
        <w:rPr>
          <w:b w:val="0"/>
          <w:bCs w:val="0"/>
        </w:rPr>
        <w:t>Programme</w:t>
      </w:r>
      <w:proofErr w:type="spellEnd"/>
      <w:r w:rsidR="70F27D76">
        <w:rPr>
          <w:b w:val="0"/>
          <w:bCs w:val="0"/>
        </w:rPr>
        <w:t xml:space="preserve"> AACJ and indicate that they are applying for the ‘Caravan to COP27’ so their applications can be processed quickly</w:t>
      </w:r>
      <w:r w:rsidRPr="70F27D76" w:rsidR="70F27D76">
        <w:rPr>
          <w:b w:val="1"/>
          <w:bCs w:val="1"/>
        </w:rPr>
        <w:t>.</w:t>
      </w:r>
    </w:p>
    <w:p w:rsidR="70F27D76" w:rsidP="70F27D76" w:rsidRDefault="70F27D76" w14:paraId="16B269A5" w14:textId="5107B007">
      <w:pPr>
        <w:pStyle w:val="Normal"/>
        <w:rPr>
          <w:b w:val="1"/>
          <w:bCs w:val="1"/>
        </w:rPr>
      </w:pPr>
    </w:p>
    <w:p w:rsidR="70F27D76" w:rsidP="70F27D76" w:rsidRDefault="70F27D76" w14:paraId="3AA814BE" w14:textId="5B4EF990">
      <w:pPr>
        <w:pStyle w:val="ListParagraph"/>
        <w:numPr>
          <w:ilvl w:val="0"/>
          <w:numId w:val="4"/>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Can we still apply if we don’t meet the inclusion criteria?</w:t>
      </w:r>
    </w:p>
    <w:p w:rsidR="70F27D76" w:rsidP="70F27D76" w:rsidRDefault="70F27D76" w14:paraId="3501DA1D" w14:textId="76468EB0">
      <w:pPr>
        <w:pStyle w:val="Normal"/>
        <w:ind w:left="0"/>
        <w:rPr>
          <w:b w:val="1"/>
          <w:bCs w:val="1"/>
        </w:rPr>
      </w:pPr>
    </w:p>
    <w:p w:rsidR="70F27D76" w:rsidP="70F27D76" w:rsidRDefault="70F27D76" w14:paraId="6929487B" w14:textId="7A9EA1DD">
      <w:pPr>
        <w:pStyle w:val="Normal"/>
        <w:ind w:left="0"/>
        <w:rPr>
          <w:b w:val="1"/>
          <w:bCs w:val="1"/>
        </w:rPr>
      </w:pPr>
      <w:r w:rsidRPr="70F27D76" w:rsidR="70F27D76">
        <w:rPr>
          <w:b w:val="1"/>
          <w:bCs w:val="1"/>
        </w:rPr>
        <w:t>Yes, selecting ‘No’ on any of the inclusion questions will not disqualify you from funding, but in the case that a difficult decision needs to be made, being a community-led, women-led or indigenous-led alliance will be taken into consideration.</w:t>
      </w:r>
    </w:p>
    <w:p w:rsidR="70F27D76" w:rsidP="70F27D76" w:rsidRDefault="70F27D76" w14:paraId="21E6B2A0" w14:textId="66003D50">
      <w:pPr>
        <w:pStyle w:val="Normal"/>
        <w:ind w:left="0"/>
        <w:rPr>
          <w:b w:val="1"/>
          <w:bCs w:val="1"/>
        </w:rPr>
      </w:pPr>
    </w:p>
    <w:p w:rsidR="70F27D76" w:rsidP="70F27D76" w:rsidRDefault="70F27D76" w14:paraId="76A55F42" w14:textId="64D2AB81">
      <w:pPr>
        <w:pStyle w:val="ListParagraph"/>
        <w:numPr>
          <w:ilvl w:val="0"/>
          <w:numId w:val="4"/>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How are ‘indigenous’ people defined?</w:t>
      </w:r>
    </w:p>
    <w:p w:rsidR="70F27D76" w:rsidP="70F27D76" w:rsidRDefault="70F27D76" w14:paraId="124C1276" w14:textId="2C0DE272">
      <w:pPr>
        <w:pStyle w:val="Normal"/>
        <w:ind w:left="0"/>
        <w:rPr>
          <w:b w:val="1"/>
          <w:bCs w:val="1"/>
        </w:rPr>
      </w:pPr>
    </w:p>
    <w:p w:rsidR="70F27D76" w:rsidP="70F27D76" w:rsidRDefault="70F27D76" w14:paraId="572C4F86" w14:textId="134AFB33">
      <w:pPr>
        <w:pStyle w:val="Normal"/>
        <w:ind w:left="0"/>
        <w:rPr>
          <w:b w:val="1"/>
          <w:bCs w:val="1"/>
        </w:rPr>
      </w:pPr>
      <w:r w:rsidR="70F27D76">
        <w:rPr>
          <w:b w:val="0"/>
          <w:bCs w:val="0"/>
        </w:rPr>
        <w:t xml:space="preserve">While there are several definitions of indigenous (or aboriginal) people groups, for this fund we will </w:t>
      </w:r>
      <w:proofErr w:type="spellStart"/>
      <w:r w:rsidR="70F27D76">
        <w:rPr>
          <w:b w:val="0"/>
          <w:bCs w:val="0"/>
        </w:rPr>
        <w:t>prioritiseindigenous</w:t>
      </w:r>
      <w:proofErr w:type="spellEnd"/>
      <w:r w:rsidR="70F27D76">
        <w:rPr>
          <w:b w:val="0"/>
          <w:bCs w:val="0"/>
        </w:rPr>
        <w:t xml:space="preserve"> peoples who have social, cultural, economic, and political characteristics that are clearly distinct from those of the other segments of the national populations where they reside. Indigenous people are considered only 6% of the </w:t>
      </w:r>
      <w:proofErr w:type="gramStart"/>
      <w:r w:rsidR="70F27D76">
        <w:rPr>
          <w:b w:val="0"/>
          <w:bCs w:val="0"/>
        </w:rPr>
        <w:t>worlds</w:t>
      </w:r>
      <w:proofErr w:type="gramEnd"/>
      <w:r w:rsidR="70F27D76">
        <w:rPr>
          <w:b w:val="0"/>
          <w:bCs w:val="0"/>
        </w:rPr>
        <w:t xml:space="preserve"> population but are thought to be defending 80% of natural resources, while fighting to maintain ways of life on lands from which their people came prior to setter-colonial </w:t>
      </w:r>
      <w:r w:rsidR="70F27D76">
        <w:rPr>
          <w:b w:val="0"/>
          <w:bCs w:val="0"/>
        </w:rPr>
        <w:t>occupations</w:t>
      </w:r>
      <w:r w:rsidRPr="70F27D76" w:rsidR="70F27D76">
        <w:rPr>
          <w:b w:val="1"/>
          <w:bCs w:val="1"/>
        </w:rPr>
        <w:t xml:space="preserve">. </w:t>
      </w:r>
    </w:p>
    <w:p w:rsidR="70F27D76" w:rsidP="70F27D76" w:rsidRDefault="70F27D76" w14:paraId="6F31EE4D" w14:textId="7C7A0C3C">
      <w:pPr>
        <w:pStyle w:val="Normal"/>
        <w:ind w:left="0"/>
        <w:rPr>
          <w:b w:val="1"/>
          <w:bCs w:val="1"/>
        </w:rPr>
      </w:pPr>
    </w:p>
    <w:p w:rsidR="70F27D76" w:rsidP="70F27D76" w:rsidRDefault="70F27D76" w14:paraId="248A45CA" w14:textId="6964156D">
      <w:pPr>
        <w:pStyle w:val="ListParagraph"/>
        <w:numPr>
          <w:ilvl w:val="0"/>
          <w:numId w:val="4"/>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What is the period of the funding?</w:t>
      </w:r>
    </w:p>
    <w:p w:rsidR="70F27D76" w:rsidP="70F27D76" w:rsidRDefault="70F27D76" w14:paraId="0706365E" w14:textId="23E1BCED">
      <w:pPr>
        <w:pStyle w:val="Normal"/>
        <w:ind w:left="0"/>
        <w:rPr>
          <w:b w:val="0"/>
          <w:bCs w:val="0"/>
        </w:rPr>
      </w:pPr>
      <w:r w:rsidR="70F27D76">
        <w:rPr>
          <w:b w:val="0"/>
          <w:bCs w:val="0"/>
        </w:rPr>
        <w:t xml:space="preserve"> </w:t>
      </w:r>
    </w:p>
    <w:p w:rsidR="70F27D76" w:rsidP="70F27D76" w:rsidRDefault="70F27D76" w14:paraId="1A6DECBD" w14:textId="67211A6C">
      <w:pPr>
        <w:pStyle w:val="Normal"/>
        <w:ind w:left="0"/>
        <w:rPr>
          <w:b w:val="0"/>
          <w:bCs w:val="0"/>
        </w:rPr>
      </w:pPr>
      <w:r w:rsidR="70F27D76">
        <w:rPr>
          <w:b w:val="0"/>
          <w:bCs w:val="0"/>
        </w:rPr>
        <w:t xml:space="preserve">The fund is rolling, which means it will hopefully remain open for the duration of the Power of Voice </w:t>
      </w:r>
      <w:proofErr w:type="spellStart"/>
      <w:r w:rsidR="70F27D76">
        <w:rPr>
          <w:b w:val="0"/>
          <w:bCs w:val="0"/>
        </w:rPr>
        <w:t>Programmes</w:t>
      </w:r>
      <w:proofErr w:type="spellEnd"/>
      <w:r w:rsidR="70F27D76">
        <w:rPr>
          <w:b w:val="0"/>
          <w:bCs w:val="0"/>
        </w:rPr>
        <w:t xml:space="preserve"> (until 2025). As it is meant to be unplanned or sudden opportunity funding that you could not budget for in your annual plan, we anticipate that most funds will be used within a short-time span (less than 12 months). </w:t>
      </w:r>
    </w:p>
    <w:p w:rsidR="70F27D76" w:rsidP="70F27D76" w:rsidRDefault="70F27D76" w14:paraId="059A5532" w14:textId="3D6E3B6E">
      <w:pPr>
        <w:pStyle w:val="Normal"/>
        <w:ind w:left="0"/>
        <w:rPr>
          <w:b w:val="1"/>
          <w:bCs w:val="1"/>
        </w:rPr>
      </w:pPr>
    </w:p>
    <w:p w:rsidR="70F27D76" w:rsidP="70F27D76" w:rsidRDefault="70F27D76" w14:paraId="45E97C31" w14:textId="629F95BB">
      <w:pPr>
        <w:pStyle w:val="ListParagraph"/>
        <w:numPr>
          <w:ilvl w:val="0"/>
          <w:numId w:val="4"/>
        </w:numPr>
        <w:rPr>
          <w:rFonts w:ascii="Calibri" w:hAnsi="Calibri" w:eastAsia="Calibri" w:cs="Calibri" w:asciiTheme="minorAscii" w:hAnsiTheme="minorAscii" w:eastAsiaTheme="minorAscii" w:cstheme="minorAscii"/>
          <w:b w:val="1"/>
          <w:bCs w:val="1"/>
          <w:sz w:val="24"/>
          <w:szCs w:val="24"/>
        </w:rPr>
      </w:pPr>
      <w:r w:rsidRPr="70F27D76" w:rsidR="70F27D76">
        <w:rPr>
          <w:b w:val="1"/>
          <w:bCs w:val="1"/>
        </w:rPr>
        <w:t>What is the budget ceiling?</w:t>
      </w:r>
    </w:p>
    <w:p w:rsidR="70F27D76" w:rsidP="70F27D76" w:rsidRDefault="70F27D76" w14:paraId="064CBC3C" w14:textId="04D4CE45">
      <w:pPr>
        <w:pStyle w:val="Normal"/>
        <w:ind w:left="0"/>
        <w:rPr>
          <w:b w:val="0"/>
          <w:bCs w:val="0"/>
        </w:rPr>
      </w:pPr>
    </w:p>
    <w:p w:rsidR="70F27D76" w:rsidP="70F27D76" w:rsidRDefault="70F27D76" w14:paraId="6EC39459" w14:textId="77F33847">
      <w:pPr>
        <w:pStyle w:val="Normal"/>
        <w:ind w:left="0"/>
        <w:rPr>
          <w:b w:val="0"/>
          <w:bCs w:val="0"/>
        </w:rPr>
      </w:pPr>
      <w:r w:rsidR="70F27D76">
        <w:rPr>
          <w:b w:val="0"/>
          <w:bCs w:val="0"/>
        </w:rPr>
        <w:t>Alliance can apply for an amount between EUR 10.000 up to EUR 100.000. Note that we anticipate providing an average funding of around EUR 25.000 and larger requests will be treated more competitively and will take longer to process.</w:t>
      </w:r>
    </w:p>
    <w:p w:rsidR="70F27D76" w:rsidP="70F27D76" w:rsidRDefault="70F27D76" w14:paraId="140B0B5B" w14:textId="169133F1">
      <w:pPr>
        <w:pStyle w:val="Normal"/>
        <w:rPr>
          <w:b w:val="1"/>
          <w:bCs w:val="1"/>
        </w:rPr>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08D277A0"/>
    <w:rsid w:val="2E8BF9A8"/>
    <w:rsid w:val="6265DC0A"/>
    <w:rsid w:val="6558624C"/>
    <w:rsid w:val="6E496FB5"/>
    <w:rsid w:val="70F2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TOC1" mc:Ignorable="w14">
    <w:name xmlns:w="http://schemas.openxmlformats.org/wordprocessingml/2006/main" w:val="toc 1"/>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pPr>
  </w:style>
  <w:style xmlns:w14="http://schemas.microsoft.com/office/word/2010/wordml" xmlns:mc="http://schemas.openxmlformats.org/markup-compatibility/2006" xmlns:w="http://schemas.openxmlformats.org/wordprocessingml/2006/main" w:type="paragraph" w:styleId="TOC2" mc:Ignorable="w14">
    <w:name xmlns:w="http://schemas.openxmlformats.org/wordprocessingml/2006/main" w:val="toc 2"/>
    <w:basedOn xmlns:w="http://schemas.openxmlformats.org/wordprocessingml/2006/main" w:val="Normal"/>
    <w:next xmlns:w="http://schemas.openxmlformats.org/wordprocessingml/2006/main" w:val="Normal"/>
    <w:autoRedefine xmlns:w="http://schemas.openxmlformats.org/wordprocessingml/2006/main"/>
    <w:uiPriority xmlns:w="http://schemas.openxmlformats.org/wordprocessingml/2006/main" w:val="39"/>
    <w:unhideWhenUsed xmlns:w="http://schemas.openxmlformats.org/wordprocessingml/2006/main"/>
    <w:pPr xmlns:w="http://schemas.openxmlformats.org/wordprocessingml/2006/main">
      <w:spacing xmlns:w="http://schemas.openxmlformats.org/wordprocessingml/2006/main" w:after="100"/>
      <w:ind xmlns:w="http://schemas.openxmlformats.org/wordprocessingml/2006/main" w:left="220"/>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image" Target="/media/image.png" Id="R5f1a1d8381874568" /><Relationship Type="http://schemas.openxmlformats.org/officeDocument/2006/relationships/image" Target="/media/image2.png" Id="R8675145ecf4c4140" /><Relationship Type="http://schemas.openxmlformats.org/officeDocument/2006/relationships/image" Target="/media/image3.png" Id="Re5a68ee458074904" /><Relationship Type="http://schemas.openxmlformats.org/officeDocument/2006/relationships/image" Target="/media/image4.png" Id="R696a75bb2ba94555" /><Relationship Type="http://schemas.openxmlformats.org/officeDocument/2006/relationships/image" Target="/media/image5.png" Id="R42e50db9aec2496a" /><Relationship Type="http://schemas.openxmlformats.org/officeDocument/2006/relationships/image" Target="/media/image6.png" Id="R289d8777ce2d42d3" /><Relationship Type="http://schemas.openxmlformats.org/officeDocument/2006/relationships/image" Target="/media/image7.png" Id="R38a4fd32d3e24668" /><Relationship Type="http://schemas.openxmlformats.org/officeDocument/2006/relationships/image" Target="/media/image8.png" Id="R96674878ad494d0a" /><Relationship Type="http://schemas.openxmlformats.org/officeDocument/2006/relationships/image" Target="/media/image9.png" Id="R294e16969b004185" /><Relationship Type="http://schemas.openxmlformats.org/officeDocument/2006/relationships/image" Target="/media/imagea.png" Id="R799c77cffc66452a" /><Relationship Type="http://schemas.openxmlformats.org/officeDocument/2006/relationships/image" Target="/media/imageb.png" Id="Rb158d77e8de9454e" /><Relationship Type="http://schemas.openxmlformats.org/officeDocument/2006/relationships/image" Target="/media/imagec.png" Id="Re2070cc969834fd7" /><Relationship Type="http://schemas.openxmlformats.org/officeDocument/2006/relationships/image" Target="/media/imaged.png" Id="R91edab1475294d12" /><Relationship Type="http://schemas.openxmlformats.org/officeDocument/2006/relationships/image" Target="/media/imagee.png" Id="R73a3446181c0468e" /><Relationship Type="http://schemas.openxmlformats.org/officeDocument/2006/relationships/image" Target="/media/imagef.png" Id="Rb8a51fca7c5e48dd" /><Relationship Type="http://schemas.openxmlformats.org/officeDocument/2006/relationships/image" Target="/media/image10.png" Id="R6d0f06aac5ad42c5" /><Relationship Type="http://schemas.openxmlformats.org/officeDocument/2006/relationships/glossaryDocument" Target="glossary/document.xml" Id="Rd2c68d8c69924df8" /><Relationship Type="http://schemas.openxmlformats.org/officeDocument/2006/relationships/numbering" Target="numbering.xml" Id="Rd24965981bb64331" /><Relationship Type="http://schemas.openxmlformats.org/officeDocument/2006/relationships/hyperlink" Target="https://www.cognitoforms.com/OxfamNovib1/SuddenOpportunityCampaignFunds" TargetMode="External" Id="R03a7bd706d1a4947" /><Relationship Type="http://schemas.openxmlformats.org/officeDocument/2006/relationships/hyperlink" Target="https://www-cognitoforms-com.translate.goog/OxfamNovib1/SuddenOpportunityCampaignFunds?_x_tr_sl=en&amp;_x_tr_tl=fr&amp;_x_tr_hl=en-US&amp;_x_tr_pto=wapp" TargetMode="External" Id="R4c95014fd39149a2" /><Relationship Type="http://schemas.openxmlformats.org/officeDocument/2006/relationships/hyperlink" Target="https://www-cognitoforms-com.translate.goog/OxfamNovib1/SuddenOpportunityCampaignFunds?_x_tr_sl=en&amp;_x_tr_tl=pt&amp;_x_tr_hl=en-US&amp;_x_tr_pto=wapp" TargetMode="External" Id="R3ade3f7ad9c248e4" /><Relationship Type="http://schemas.openxmlformats.org/officeDocument/2006/relationships/hyperlink" Target="https://oxfam.box.com/shared/static/j1su1zjn33cuaixygvy9t7cqpmbid5wz.xlsx" TargetMode="External" Id="R6af6c3483e3c463f" /><Relationship Type="http://schemas.openxmlformats.org/officeDocument/2006/relationships/image" Target="/media/image12.png" Id="R7775fa6a13b242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e1c6b7-9e97-4c69-b463-62c63bfdb77a}"/>
      </w:docPartPr>
      <w:docPartBody>
        <w:p w14:paraId="01E30840">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Saskia Wishart</lastModifiedBy>
  <revision>7</revision>
  <dcterms:created xsi:type="dcterms:W3CDTF">2018-02-09T21:34:00.0000000Z</dcterms:created>
  <dcterms:modified xsi:type="dcterms:W3CDTF">2022-08-01T16:16:59.0564317Z</dcterms:modified>
</coreProperties>
</file>